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EF" w:rsidRDefault="002011EF" w:rsidP="002011EF">
      <w:pPr>
        <w:jc w:val="center"/>
        <w:rPr>
          <w:b/>
          <w:sz w:val="32"/>
        </w:rPr>
      </w:pPr>
      <w:r>
        <w:rPr>
          <w:b/>
          <w:sz w:val="32"/>
        </w:rPr>
        <w:t>Reglugerð</w:t>
      </w:r>
    </w:p>
    <w:p w:rsidR="002011EF" w:rsidRDefault="002011EF" w:rsidP="002011EF">
      <w:pPr>
        <w:jc w:val="center"/>
        <w:rPr>
          <w:b/>
          <w:sz w:val="8"/>
        </w:rPr>
      </w:pPr>
    </w:p>
    <w:p w:rsidR="002011EF" w:rsidRDefault="002011EF" w:rsidP="002011EF">
      <w:pPr>
        <w:jc w:val="center"/>
        <w:rPr>
          <w:b/>
        </w:rPr>
      </w:pPr>
      <w:r>
        <w:rPr>
          <w:b/>
        </w:rPr>
        <w:t>um breytingu á reglugerð nr. 155/2007 um stærð og þyngd ökutækja.</w:t>
      </w:r>
    </w:p>
    <w:p w:rsidR="002011EF" w:rsidRPr="00125097" w:rsidRDefault="002011EF" w:rsidP="002011EF"/>
    <w:p w:rsidR="002011EF" w:rsidRDefault="002011EF" w:rsidP="002011EF">
      <w:pPr>
        <w:numPr>
          <w:ilvl w:val="0"/>
          <w:numId w:val="1"/>
        </w:numPr>
        <w:jc w:val="center"/>
        <w:rPr>
          <w:b/>
          <w:sz w:val="22"/>
        </w:rPr>
      </w:pPr>
      <w:r>
        <w:rPr>
          <w:b/>
          <w:sz w:val="22"/>
        </w:rPr>
        <w:t>gr.</w:t>
      </w:r>
    </w:p>
    <w:p w:rsidR="002011EF" w:rsidRDefault="002011EF" w:rsidP="002011EF">
      <w:pPr>
        <w:tabs>
          <w:tab w:val="left" w:pos="397"/>
          <w:tab w:val="left" w:pos="709"/>
        </w:tabs>
        <w:jc w:val="both"/>
        <w:rPr>
          <w:rFonts w:ascii="Times" w:hAnsi="Times"/>
          <w:noProof/>
        </w:rPr>
      </w:pPr>
      <w:r>
        <w:rPr>
          <w:rFonts w:ascii="Times" w:hAnsi="Times"/>
          <w:noProof/>
        </w:rPr>
        <w:t>2. gr. breytist þannig:</w:t>
      </w:r>
    </w:p>
    <w:p w:rsidR="002011EF" w:rsidRDefault="002011EF" w:rsidP="002011EF">
      <w:pPr>
        <w:tabs>
          <w:tab w:val="left" w:pos="397"/>
          <w:tab w:val="left" w:pos="709"/>
        </w:tabs>
        <w:jc w:val="both"/>
        <w:rPr>
          <w:rFonts w:ascii="Times" w:hAnsi="Times"/>
          <w:noProof/>
        </w:rPr>
      </w:pPr>
      <w:r>
        <w:rPr>
          <w:rFonts w:ascii="Times" w:hAnsi="Times"/>
          <w:noProof/>
        </w:rPr>
        <w:tab/>
        <w:t>a.</w:t>
      </w:r>
      <w:r>
        <w:rPr>
          <w:rFonts w:ascii="Times" w:hAnsi="Times"/>
          <w:noProof/>
        </w:rPr>
        <w:tab/>
        <w:t xml:space="preserve">Skýring á </w:t>
      </w:r>
      <w:r w:rsidRPr="00FC6C7D">
        <w:rPr>
          <w:rFonts w:ascii="Times" w:hAnsi="Times"/>
          <w:i/>
          <w:noProof/>
        </w:rPr>
        <w:t>„liðvagn</w:t>
      </w:r>
      <w:r>
        <w:rPr>
          <w:rFonts w:ascii="Times" w:hAnsi="Times"/>
          <w:i/>
          <w:noProof/>
        </w:rPr>
        <w:t>i</w:t>
      </w:r>
      <w:r w:rsidRPr="00FC6C7D">
        <w:rPr>
          <w:rFonts w:ascii="Times" w:hAnsi="Times"/>
          <w:i/>
          <w:noProof/>
        </w:rPr>
        <w:t xml:space="preserve">“ </w:t>
      </w:r>
      <w:r>
        <w:rPr>
          <w:rFonts w:ascii="Times" w:hAnsi="Times"/>
          <w:noProof/>
        </w:rPr>
        <w:t>skal orðast svo:</w:t>
      </w:r>
    </w:p>
    <w:p w:rsidR="002011EF" w:rsidRPr="00FC6C7D" w:rsidRDefault="002011EF" w:rsidP="002011EF">
      <w:pPr>
        <w:tabs>
          <w:tab w:val="left" w:pos="397"/>
          <w:tab w:val="left" w:pos="709"/>
        </w:tabs>
        <w:jc w:val="both"/>
        <w:rPr>
          <w:rFonts w:ascii="Times" w:hAnsi="Times"/>
          <w:noProof/>
          <w:sz w:val="8"/>
        </w:rPr>
      </w:pPr>
    </w:p>
    <w:p w:rsidR="002011EF" w:rsidRDefault="002011EF" w:rsidP="002011EF">
      <w:pPr>
        <w:tabs>
          <w:tab w:val="left" w:pos="397"/>
          <w:tab w:val="left" w:pos="709"/>
        </w:tabs>
        <w:ind w:firstLine="397"/>
        <w:jc w:val="both"/>
        <w:rPr>
          <w:rFonts w:ascii="Times" w:hAnsi="Times"/>
          <w:noProof/>
          <w:sz w:val="2"/>
          <w:szCs w:val="10"/>
        </w:rPr>
      </w:pPr>
    </w:p>
    <w:p w:rsidR="002011EF" w:rsidRDefault="002011EF" w:rsidP="002011EF">
      <w:pPr>
        <w:tabs>
          <w:tab w:val="left" w:pos="397"/>
          <w:tab w:val="left" w:pos="709"/>
        </w:tabs>
        <w:ind w:left="709"/>
        <w:jc w:val="both"/>
        <w:rPr>
          <w:rFonts w:ascii="Times" w:hAnsi="Times"/>
          <w:noProof/>
        </w:rPr>
      </w:pPr>
      <w:r w:rsidRPr="00FC6C7D">
        <w:rPr>
          <w:rFonts w:ascii="Times" w:hAnsi="Times"/>
          <w:i/>
          <w:iCs/>
          <w:noProof/>
        </w:rPr>
        <w:t xml:space="preserve">Liðvagn: </w:t>
      </w:r>
      <w:r w:rsidRPr="00FC6C7D">
        <w:rPr>
          <w:rFonts w:ascii="Times" w:hAnsi="Times"/>
          <w:noProof/>
        </w:rPr>
        <w:t>Hópbifreið sem sett er saman úr tveimur ósveigjanlegum hlutum, tengdum saman með</w:t>
      </w:r>
      <w:r>
        <w:rPr>
          <w:rFonts w:ascii="Times" w:hAnsi="Times"/>
          <w:noProof/>
        </w:rPr>
        <w:t xml:space="preserve"> </w:t>
      </w:r>
      <w:r w:rsidRPr="00FC6C7D">
        <w:rPr>
          <w:rFonts w:ascii="Times" w:hAnsi="Times"/>
          <w:noProof/>
        </w:rPr>
        <w:t>liðamótum, sem innangengt er á milli.</w:t>
      </w:r>
      <w:r w:rsidRPr="00FC6C7D">
        <w:rPr>
          <w:sz w:val="19"/>
          <w:szCs w:val="19"/>
          <w:lang w:eastAsia="is-IS"/>
        </w:rPr>
        <w:t xml:space="preserve"> </w:t>
      </w:r>
      <w:r w:rsidRPr="00FC6C7D">
        <w:rPr>
          <w:rFonts w:ascii="Times" w:hAnsi="Times"/>
          <w:noProof/>
        </w:rPr>
        <w:t>Einungis skal vera unnt að tengja eða frátengja</w:t>
      </w:r>
      <w:r>
        <w:rPr>
          <w:rFonts w:ascii="Times" w:hAnsi="Times"/>
          <w:noProof/>
        </w:rPr>
        <w:t xml:space="preserve"> hlutana tvo á verkstæði.</w:t>
      </w:r>
    </w:p>
    <w:p w:rsidR="002011EF" w:rsidRPr="004420C9" w:rsidRDefault="002011EF" w:rsidP="002011EF">
      <w:pPr>
        <w:tabs>
          <w:tab w:val="left" w:pos="397"/>
          <w:tab w:val="left" w:pos="709"/>
        </w:tabs>
        <w:ind w:left="709"/>
        <w:jc w:val="both"/>
        <w:rPr>
          <w:rFonts w:ascii="Times" w:hAnsi="Times"/>
          <w:noProof/>
          <w:sz w:val="10"/>
        </w:rPr>
      </w:pPr>
    </w:p>
    <w:p w:rsidR="002011EF" w:rsidRDefault="002011EF" w:rsidP="002011EF">
      <w:pPr>
        <w:tabs>
          <w:tab w:val="left" w:pos="397"/>
          <w:tab w:val="left" w:pos="709"/>
        </w:tabs>
        <w:jc w:val="both"/>
        <w:rPr>
          <w:rFonts w:ascii="Times" w:hAnsi="Times"/>
          <w:noProof/>
        </w:rPr>
      </w:pPr>
      <w:r>
        <w:rPr>
          <w:rFonts w:ascii="Times" w:hAnsi="Times"/>
          <w:noProof/>
        </w:rPr>
        <w:tab/>
        <w:t>b.</w:t>
      </w:r>
      <w:r>
        <w:rPr>
          <w:rFonts w:ascii="Times" w:hAnsi="Times"/>
          <w:noProof/>
        </w:rPr>
        <w:tab/>
        <w:t xml:space="preserve">Hugtakið </w:t>
      </w:r>
      <w:r w:rsidRPr="00FC6C7D">
        <w:rPr>
          <w:rFonts w:ascii="Times" w:hAnsi="Times"/>
          <w:i/>
          <w:noProof/>
        </w:rPr>
        <w:t>„jafnhitavagn“</w:t>
      </w:r>
      <w:r>
        <w:rPr>
          <w:rFonts w:ascii="Times" w:hAnsi="Times"/>
          <w:noProof/>
        </w:rPr>
        <w:t xml:space="preserve"> verður að </w:t>
      </w:r>
      <w:r w:rsidRPr="00FC6C7D">
        <w:rPr>
          <w:rFonts w:ascii="Times" w:hAnsi="Times"/>
          <w:i/>
          <w:noProof/>
        </w:rPr>
        <w:t>„jafnhitaökutæki“</w:t>
      </w:r>
      <w:r>
        <w:rPr>
          <w:rFonts w:ascii="Times" w:hAnsi="Times"/>
          <w:noProof/>
        </w:rPr>
        <w:t>.</w:t>
      </w:r>
    </w:p>
    <w:p w:rsidR="002011EF" w:rsidRPr="004420C9" w:rsidRDefault="002011EF" w:rsidP="002011EF">
      <w:pPr>
        <w:tabs>
          <w:tab w:val="left" w:pos="397"/>
          <w:tab w:val="left" w:pos="709"/>
        </w:tabs>
        <w:ind w:left="709"/>
        <w:jc w:val="both"/>
        <w:rPr>
          <w:rFonts w:ascii="Times" w:hAnsi="Times"/>
          <w:noProof/>
          <w:sz w:val="10"/>
        </w:rPr>
      </w:pPr>
      <w:r>
        <w:rPr>
          <w:rFonts w:ascii="Times" w:hAnsi="Times"/>
          <w:noProof/>
        </w:rPr>
        <w:tab/>
        <w:t xml:space="preserve"> </w:t>
      </w:r>
    </w:p>
    <w:p w:rsidR="002011EF" w:rsidRDefault="002011EF" w:rsidP="002011EF">
      <w:pPr>
        <w:tabs>
          <w:tab w:val="left" w:pos="397"/>
          <w:tab w:val="left" w:pos="709"/>
        </w:tabs>
        <w:ind w:left="705" w:hanging="705"/>
        <w:jc w:val="both"/>
        <w:rPr>
          <w:rFonts w:ascii="Times" w:hAnsi="Times"/>
          <w:noProof/>
        </w:rPr>
      </w:pPr>
      <w:r>
        <w:rPr>
          <w:rFonts w:ascii="Times" w:hAnsi="Times"/>
          <w:noProof/>
        </w:rPr>
        <w:tab/>
        <w:t>c.</w:t>
      </w:r>
      <w:r>
        <w:rPr>
          <w:rFonts w:ascii="Times" w:hAnsi="Times"/>
          <w:noProof/>
        </w:rPr>
        <w:tab/>
        <w:t xml:space="preserve">Fyrir neðan skýringu á </w:t>
      </w:r>
      <w:r w:rsidRPr="00902882">
        <w:rPr>
          <w:rFonts w:ascii="Times" w:hAnsi="Times"/>
          <w:i/>
          <w:noProof/>
        </w:rPr>
        <w:t>„heildarþyngd ökutækis“</w:t>
      </w:r>
      <w:r>
        <w:rPr>
          <w:rFonts w:ascii="Times" w:hAnsi="Times"/>
          <w:noProof/>
        </w:rPr>
        <w:t xml:space="preserve"> kemur ný skýring sem skal orðast svo:</w:t>
      </w:r>
    </w:p>
    <w:p w:rsidR="002011EF" w:rsidRPr="00B374BB" w:rsidRDefault="002011EF" w:rsidP="002011EF">
      <w:pPr>
        <w:tabs>
          <w:tab w:val="left" w:pos="397"/>
          <w:tab w:val="left" w:pos="709"/>
        </w:tabs>
        <w:jc w:val="both"/>
        <w:rPr>
          <w:rFonts w:ascii="Times" w:hAnsi="Times"/>
          <w:noProof/>
          <w:sz w:val="8"/>
        </w:rPr>
      </w:pPr>
      <w:r>
        <w:rPr>
          <w:rFonts w:ascii="Times" w:hAnsi="Times"/>
          <w:noProof/>
        </w:rPr>
        <w:tab/>
        <w:t xml:space="preserve"> </w:t>
      </w:r>
    </w:p>
    <w:p w:rsidR="002011EF" w:rsidRDefault="002011EF" w:rsidP="002011EF">
      <w:pPr>
        <w:tabs>
          <w:tab w:val="left" w:pos="397"/>
          <w:tab w:val="left" w:pos="709"/>
        </w:tabs>
        <w:ind w:left="705"/>
        <w:jc w:val="both"/>
        <w:rPr>
          <w:rFonts w:ascii="Times" w:hAnsi="Times"/>
          <w:noProof/>
        </w:rPr>
      </w:pPr>
      <w:r>
        <w:rPr>
          <w:rFonts w:ascii="Times" w:hAnsi="Times"/>
          <w:i/>
          <w:noProof/>
        </w:rPr>
        <w:tab/>
      </w:r>
      <w:r>
        <w:rPr>
          <w:rFonts w:ascii="Times" w:hAnsi="Times"/>
          <w:i/>
          <w:noProof/>
        </w:rPr>
        <w:tab/>
      </w:r>
      <w:r w:rsidRPr="00B374BB">
        <w:rPr>
          <w:rFonts w:ascii="Times" w:hAnsi="Times"/>
          <w:i/>
          <w:noProof/>
        </w:rPr>
        <w:t>Óskiptanlegur farmur:</w:t>
      </w:r>
      <w:r>
        <w:rPr>
          <w:rFonts w:ascii="Times" w:hAnsi="Times"/>
          <w:noProof/>
        </w:rPr>
        <w:t xml:space="preserve"> F</w:t>
      </w:r>
      <w:r w:rsidRPr="00B374BB">
        <w:rPr>
          <w:rFonts w:ascii="Times" w:hAnsi="Times"/>
          <w:noProof/>
        </w:rPr>
        <w:t>armur sem er ekki unnt að</w:t>
      </w:r>
      <w:r>
        <w:rPr>
          <w:rFonts w:ascii="Times" w:hAnsi="Times"/>
          <w:noProof/>
        </w:rPr>
        <w:t xml:space="preserve"> </w:t>
      </w:r>
      <w:r w:rsidRPr="00B374BB">
        <w:rPr>
          <w:rFonts w:ascii="Times" w:hAnsi="Times"/>
          <w:noProof/>
        </w:rPr>
        <w:t>skipta í tvo eða fleiri hluta til að flytja hann á vegum án</w:t>
      </w:r>
      <w:r>
        <w:rPr>
          <w:rFonts w:ascii="Times" w:hAnsi="Times"/>
          <w:noProof/>
        </w:rPr>
        <w:t xml:space="preserve"> </w:t>
      </w:r>
      <w:r w:rsidRPr="00B374BB">
        <w:rPr>
          <w:rFonts w:ascii="Times" w:hAnsi="Times"/>
          <w:noProof/>
        </w:rPr>
        <w:t>ótilhlýðilegs kostnaðar eða hættu á skemmdum og sem</w:t>
      </w:r>
      <w:r>
        <w:rPr>
          <w:rFonts w:ascii="Times" w:hAnsi="Times"/>
          <w:noProof/>
        </w:rPr>
        <w:t xml:space="preserve"> </w:t>
      </w:r>
      <w:r w:rsidRPr="00B374BB">
        <w:rPr>
          <w:rFonts w:ascii="Times" w:hAnsi="Times"/>
          <w:noProof/>
        </w:rPr>
        <w:t>af ást</w:t>
      </w:r>
      <w:r>
        <w:rPr>
          <w:rFonts w:ascii="Times" w:hAnsi="Times"/>
          <w:noProof/>
        </w:rPr>
        <w:t>æðum sem</w:t>
      </w:r>
      <w:r w:rsidR="00A45684">
        <w:rPr>
          <w:rFonts w:ascii="Times" w:hAnsi="Times"/>
          <w:noProof/>
        </w:rPr>
        <w:t xml:space="preserve"> varða</w:t>
      </w:r>
      <w:r>
        <w:rPr>
          <w:rFonts w:ascii="Times" w:hAnsi="Times"/>
          <w:noProof/>
        </w:rPr>
        <w:t xml:space="preserve"> stærð hans og þyngd</w:t>
      </w:r>
      <w:r w:rsidRPr="00B374BB">
        <w:rPr>
          <w:rFonts w:ascii="Times" w:hAnsi="Times"/>
          <w:noProof/>
        </w:rPr>
        <w:t xml:space="preserve"> er ekki unnt</w:t>
      </w:r>
      <w:r>
        <w:rPr>
          <w:rFonts w:ascii="Times" w:hAnsi="Times"/>
          <w:noProof/>
        </w:rPr>
        <w:t xml:space="preserve"> að flytja með </w:t>
      </w:r>
      <w:r w:rsidRPr="00B374BB">
        <w:rPr>
          <w:rFonts w:ascii="Times" w:hAnsi="Times"/>
          <w:noProof/>
        </w:rPr>
        <w:t>ökutæki</w:t>
      </w:r>
      <w:r>
        <w:rPr>
          <w:rFonts w:ascii="Times" w:hAnsi="Times"/>
          <w:noProof/>
        </w:rPr>
        <w:t xml:space="preserve"> eða </w:t>
      </w:r>
      <w:r w:rsidRPr="00B374BB">
        <w:rPr>
          <w:rFonts w:ascii="Times" w:hAnsi="Times"/>
          <w:noProof/>
        </w:rPr>
        <w:t>vagnalest</w:t>
      </w:r>
      <w:r>
        <w:rPr>
          <w:rFonts w:ascii="Times" w:hAnsi="Times"/>
          <w:noProof/>
        </w:rPr>
        <w:t xml:space="preserve"> án undanþágu samkvæmt 13. gr. reglugerðar þessarar.</w:t>
      </w:r>
    </w:p>
    <w:p w:rsidR="006B746F" w:rsidRPr="006B1FE6" w:rsidRDefault="006B746F" w:rsidP="002011EF">
      <w:pPr>
        <w:tabs>
          <w:tab w:val="left" w:pos="397"/>
          <w:tab w:val="left" w:pos="709"/>
        </w:tabs>
        <w:jc w:val="both"/>
        <w:rPr>
          <w:rFonts w:ascii="Times" w:hAnsi="Times"/>
          <w:noProof/>
          <w:sz w:val="20"/>
        </w:rPr>
      </w:pPr>
    </w:p>
    <w:p w:rsidR="002011EF" w:rsidRDefault="002011EF" w:rsidP="002011EF">
      <w:pPr>
        <w:numPr>
          <w:ilvl w:val="0"/>
          <w:numId w:val="1"/>
        </w:numPr>
        <w:jc w:val="center"/>
        <w:rPr>
          <w:b/>
          <w:sz w:val="22"/>
        </w:rPr>
      </w:pPr>
      <w:r>
        <w:rPr>
          <w:b/>
          <w:sz w:val="22"/>
        </w:rPr>
        <w:t>gr.</w:t>
      </w:r>
    </w:p>
    <w:p w:rsidR="002011EF" w:rsidRPr="00447DFD" w:rsidRDefault="002011EF" w:rsidP="002011EF">
      <w:r w:rsidRPr="00447DFD">
        <w:t>Í e-lið 1. mgr. 5. gr. skal</w:t>
      </w:r>
      <w:r>
        <w:t xml:space="preserve"> </w:t>
      </w:r>
      <w:r w:rsidRPr="00447DFD">
        <w:t xml:space="preserve">í stað </w:t>
      </w:r>
      <w:r w:rsidRPr="00F849DF">
        <w:rPr>
          <w:i/>
        </w:rPr>
        <w:t>„festivagn, 13,30 m,“</w:t>
      </w:r>
      <w:r w:rsidRPr="00447DFD">
        <w:t xml:space="preserve"> koma </w:t>
      </w:r>
      <w:r w:rsidRPr="00F849DF">
        <w:rPr>
          <w:i/>
        </w:rPr>
        <w:t>„eftirvagn, 12,00 m,“</w:t>
      </w:r>
      <w:r>
        <w:t>.</w:t>
      </w:r>
    </w:p>
    <w:p w:rsidR="002011EF" w:rsidRPr="006B1FE6" w:rsidRDefault="002011EF" w:rsidP="002011EF">
      <w:pPr>
        <w:ind w:firstLine="360"/>
        <w:rPr>
          <w:b/>
          <w:sz w:val="20"/>
        </w:rPr>
      </w:pPr>
    </w:p>
    <w:p w:rsidR="002011EF" w:rsidRDefault="002011EF" w:rsidP="002011EF">
      <w:pPr>
        <w:numPr>
          <w:ilvl w:val="0"/>
          <w:numId w:val="1"/>
        </w:numPr>
        <w:jc w:val="center"/>
        <w:rPr>
          <w:b/>
          <w:sz w:val="22"/>
        </w:rPr>
      </w:pPr>
      <w:r>
        <w:rPr>
          <w:b/>
          <w:sz w:val="22"/>
        </w:rPr>
        <w:t>gr.</w:t>
      </w:r>
    </w:p>
    <w:p w:rsidR="002011EF" w:rsidRDefault="002011EF" w:rsidP="002011EF">
      <w:r w:rsidRPr="003611EC">
        <w:t>7. gr</w:t>
      </w:r>
      <w:r>
        <w:t xml:space="preserve">., með fyrirsögninni </w:t>
      </w:r>
      <w:r w:rsidRPr="003611EC">
        <w:rPr>
          <w:i/>
        </w:rPr>
        <w:t>„Breidd ökutækis“</w:t>
      </w:r>
      <w:r w:rsidRPr="003611EC">
        <w:t xml:space="preserve"> skal orðast svo:</w:t>
      </w:r>
    </w:p>
    <w:p w:rsidR="002011EF" w:rsidRPr="005E7238" w:rsidRDefault="002011EF" w:rsidP="002011EF">
      <w:pPr>
        <w:rPr>
          <w:sz w:val="10"/>
        </w:rPr>
      </w:pPr>
    </w:p>
    <w:p w:rsidR="002C6476" w:rsidRDefault="002011EF" w:rsidP="002011EF">
      <w:pPr>
        <w:ind w:firstLine="360"/>
        <w:rPr>
          <w:iCs/>
        </w:rPr>
      </w:pPr>
      <w:r w:rsidRPr="003611EC">
        <w:rPr>
          <w:iCs/>
        </w:rPr>
        <w:t>Leyfileg breidd bifreiðar og eftirvagns er 2,55 m með þeirri undantekningu að yfirbygging</w:t>
      </w:r>
      <w:r w:rsidRPr="003611EC">
        <w:t xml:space="preserve"> </w:t>
      </w:r>
      <w:r w:rsidRPr="003611EC">
        <w:rPr>
          <w:iCs/>
        </w:rPr>
        <w:t>j</w:t>
      </w:r>
      <w:r>
        <w:rPr>
          <w:iCs/>
        </w:rPr>
        <w:t>afnhitaökutækis</w:t>
      </w:r>
      <w:r w:rsidRPr="003611EC">
        <w:rPr>
          <w:iCs/>
        </w:rPr>
        <w:t xml:space="preserve"> má vera 2,60 m.</w:t>
      </w:r>
      <w:r w:rsidRPr="003611EC">
        <w:t xml:space="preserve"> </w:t>
      </w:r>
      <w:r w:rsidRPr="003611EC">
        <w:rPr>
          <w:iCs/>
        </w:rPr>
        <w:br/>
      </w:r>
      <w:r>
        <w:t xml:space="preserve">      </w:t>
      </w:r>
      <w:r w:rsidRPr="003611EC">
        <w:rPr>
          <w:iCs/>
        </w:rPr>
        <w:t>Leyfileg breidd vinnuvélar, eftirvagns hennar eða tengitækis til landbúnaðarstarfa eða vegavinnu er</w:t>
      </w:r>
      <w:r w:rsidRPr="003611EC">
        <w:t xml:space="preserve"> </w:t>
      </w:r>
      <w:r w:rsidRPr="003611EC">
        <w:rPr>
          <w:iCs/>
        </w:rPr>
        <w:t>3,30 m. Lögreglan getur bannað akstur slíkra ökutækja þegar sérstaklega stendur á.</w:t>
      </w:r>
      <w:r w:rsidRPr="003611EC">
        <w:t xml:space="preserve"> </w:t>
      </w:r>
      <w:r w:rsidRPr="003611EC">
        <w:rPr>
          <w:iCs/>
        </w:rPr>
        <w:br/>
      </w:r>
      <w:r>
        <w:rPr>
          <w:iCs/>
        </w:rPr>
        <w:t xml:space="preserve">      </w:t>
      </w:r>
      <w:r w:rsidRPr="003611EC">
        <w:rPr>
          <w:iCs/>
        </w:rPr>
        <w:t>Leyfileg breidd ökutækis með áfestan búnað til snjómoksturs er 3,50 m.</w:t>
      </w:r>
      <w:r w:rsidRPr="003611EC">
        <w:t xml:space="preserve"> </w:t>
      </w:r>
      <w:r w:rsidRPr="003611EC">
        <w:rPr>
          <w:iCs/>
        </w:rPr>
        <w:br/>
      </w:r>
      <w:r w:rsidRPr="003611EC">
        <w:t> </w:t>
      </w:r>
      <w:r>
        <w:rPr>
          <w:iCs/>
        </w:rPr>
        <w:t xml:space="preserve">     </w:t>
      </w:r>
      <w:r w:rsidRPr="003611EC">
        <w:rPr>
          <w:iCs/>
        </w:rPr>
        <w:t>Þrátt fyrir ákvæði 3. mgr. er ökutæki með áfestan búnað til snjómoksturs heimilt að fara umfram leyfilega breidd þegar nauðsyn krefur vegna snjómokstur</w:t>
      </w:r>
      <w:r w:rsidR="00F50839">
        <w:rPr>
          <w:iCs/>
        </w:rPr>
        <w:t>s</w:t>
      </w:r>
      <w:r w:rsidRPr="003611EC">
        <w:rPr>
          <w:iCs/>
        </w:rPr>
        <w:t xml:space="preserve"> utan þéttbýlis. </w:t>
      </w:r>
      <w:r w:rsidR="00B37E23">
        <w:rPr>
          <w:iCs/>
        </w:rPr>
        <w:t>Óheimilt er þó að nýta heimild þessa til að stunda snjómokstur á einu ökutæki á tveimur heilum akreinum samtímis, hvort sem þær eru í sömu akstursstefnu eða gagnstæða.</w:t>
      </w:r>
    </w:p>
    <w:p w:rsidR="00E46EBA" w:rsidRDefault="002011EF" w:rsidP="00910729">
      <w:pPr>
        <w:ind w:firstLine="360"/>
        <w:rPr>
          <w:iCs/>
        </w:rPr>
      </w:pPr>
      <w:r w:rsidRPr="003611EC">
        <w:t> </w:t>
      </w:r>
      <w:r>
        <w:rPr>
          <w:iCs/>
        </w:rPr>
        <w:t xml:space="preserve">     </w:t>
      </w:r>
      <w:r w:rsidRPr="003611EC">
        <w:rPr>
          <w:iCs/>
        </w:rPr>
        <w:t>Breidd ökutækis skal mæld milli þeirra hluta þess sem standa lengst til hliðar. Speglar eða ljósker,</w:t>
      </w:r>
      <w:r w:rsidRPr="003611EC">
        <w:t xml:space="preserve"> </w:t>
      </w:r>
      <w:r w:rsidRPr="003611EC">
        <w:rPr>
          <w:iCs/>
        </w:rPr>
        <w:t>önnur en aðal-, vinnu- og hliðarljósker, svo og keðjur á hjólum, eru ekki talin til breiddar ökutækis. Sama</w:t>
      </w:r>
      <w:r w:rsidRPr="003611EC">
        <w:t xml:space="preserve"> </w:t>
      </w:r>
      <w:r w:rsidRPr="003611EC">
        <w:rPr>
          <w:iCs/>
        </w:rPr>
        <w:t>gildir um festingar fyrir yfirbreiðslu og vörn þeirra.</w:t>
      </w:r>
    </w:p>
    <w:p w:rsidR="00C54A6A" w:rsidRDefault="00C54A6A" w:rsidP="00910729">
      <w:pPr>
        <w:rPr>
          <w:iCs/>
        </w:rPr>
      </w:pPr>
    </w:p>
    <w:p w:rsidR="002011EF" w:rsidRDefault="002011EF" w:rsidP="002011EF">
      <w:pPr>
        <w:numPr>
          <w:ilvl w:val="0"/>
          <w:numId w:val="1"/>
        </w:numPr>
        <w:jc w:val="center"/>
        <w:rPr>
          <w:b/>
          <w:sz w:val="22"/>
        </w:rPr>
      </w:pPr>
      <w:r>
        <w:rPr>
          <w:b/>
          <w:sz w:val="22"/>
        </w:rPr>
        <w:t>gr.</w:t>
      </w:r>
    </w:p>
    <w:p w:rsidR="002011EF" w:rsidRPr="004420C9" w:rsidRDefault="002011EF" w:rsidP="002011EF">
      <w:r w:rsidRPr="004420C9">
        <w:t xml:space="preserve">9. gr., með fyrirsögninni </w:t>
      </w:r>
      <w:r w:rsidRPr="004420C9">
        <w:rPr>
          <w:i/>
        </w:rPr>
        <w:t>„Hæð ökutækis“</w:t>
      </w:r>
      <w:r w:rsidRPr="004420C9">
        <w:t xml:space="preserve"> skal orðast svo:</w:t>
      </w:r>
    </w:p>
    <w:p w:rsidR="002011EF" w:rsidRPr="005E7238" w:rsidRDefault="002011EF" w:rsidP="002011EF">
      <w:pPr>
        <w:rPr>
          <w:sz w:val="10"/>
        </w:rPr>
      </w:pPr>
    </w:p>
    <w:p w:rsidR="002011EF" w:rsidRPr="004420C9" w:rsidRDefault="002011EF" w:rsidP="002011EF">
      <w:pPr>
        <w:ind w:firstLine="360"/>
      </w:pPr>
      <w:r w:rsidRPr="004420C9">
        <w:t xml:space="preserve">Leyfileg hæð ökutækis er 4,00 m sem skal mæld hornrétt frá yfirborði vegar að þeim hluta þess sem hæst stendur. </w:t>
      </w:r>
    </w:p>
    <w:p w:rsidR="002011EF" w:rsidRDefault="002011EF" w:rsidP="002011EF">
      <w:pPr>
        <w:ind w:firstLine="360"/>
      </w:pPr>
      <w:r w:rsidRPr="00125097">
        <w:t xml:space="preserve">Leyfileg hæð vörubifreiðar sem dregur festivagn </w:t>
      </w:r>
      <w:r>
        <w:t>er þó</w:t>
      </w:r>
      <w:r w:rsidRPr="00125097">
        <w:t xml:space="preserve"> 4,20 m, að því tilsk</w:t>
      </w:r>
      <w:r w:rsidR="00137777">
        <w:t>i</w:t>
      </w:r>
      <w:r w:rsidRPr="00125097">
        <w:t xml:space="preserve">ldu að bifreiðin sé með drif á </w:t>
      </w:r>
      <w:r>
        <w:t>a.m.k. tveimur</w:t>
      </w:r>
      <w:r w:rsidRPr="00125097">
        <w:t xml:space="preserve"> aftur</w:t>
      </w:r>
      <w:r>
        <w:t>ásum.</w:t>
      </w:r>
    </w:p>
    <w:p w:rsidR="002011EF" w:rsidRDefault="002011EF" w:rsidP="002011EF"/>
    <w:p w:rsidR="002011EF" w:rsidRPr="00125097" w:rsidRDefault="002011EF" w:rsidP="002011EF">
      <w:pPr>
        <w:rPr>
          <w:sz w:val="12"/>
        </w:rPr>
      </w:pPr>
    </w:p>
    <w:p w:rsidR="002011EF" w:rsidRDefault="002011EF" w:rsidP="002011EF">
      <w:pPr>
        <w:numPr>
          <w:ilvl w:val="0"/>
          <w:numId w:val="1"/>
        </w:numPr>
        <w:jc w:val="center"/>
        <w:rPr>
          <w:b/>
          <w:sz w:val="22"/>
        </w:rPr>
      </w:pPr>
      <w:r>
        <w:rPr>
          <w:b/>
          <w:sz w:val="22"/>
        </w:rPr>
        <w:t>gr.</w:t>
      </w:r>
    </w:p>
    <w:p w:rsidR="002011EF" w:rsidRDefault="002011EF" w:rsidP="002011EF">
      <w:r>
        <w:lastRenderedPageBreak/>
        <w:t>Við 12. gr. bætast nýjar 4.</w:t>
      </w:r>
      <w:r w:rsidR="00137777">
        <w:t>-</w:t>
      </w:r>
      <w:r>
        <w:t>7. mgr. sem skulu orðast svo:</w:t>
      </w:r>
    </w:p>
    <w:p w:rsidR="002011EF" w:rsidRPr="00902882" w:rsidRDefault="002011EF" w:rsidP="002011EF">
      <w:pPr>
        <w:rPr>
          <w:sz w:val="6"/>
        </w:rPr>
      </w:pPr>
    </w:p>
    <w:p w:rsidR="002011EF" w:rsidRPr="005E7238" w:rsidRDefault="002011EF" w:rsidP="002011EF">
      <w:pPr>
        <w:jc w:val="both"/>
      </w:pPr>
      <w:r>
        <w:t xml:space="preserve">      </w:t>
      </w:r>
      <w:r w:rsidRPr="005E7238">
        <w:t>Ökutæki, sem notað er við snjómokstur og/eða hálkuvörn og er með áfestum búnaði í því skyni, er þó undanþegið ákvæðum um ás- og heildarþunga þegar það er notað við snjómokstur og hálk</w:t>
      </w:r>
      <w:bookmarkStart w:id="0" w:name="_GoBack"/>
      <w:bookmarkEnd w:id="0"/>
      <w:r w:rsidRPr="005E7238">
        <w:t xml:space="preserve">uvörn og við akstur sem því tengist þegar ekki eru í gildi þungatakmarkanir. </w:t>
      </w:r>
    </w:p>
    <w:p w:rsidR="002011EF" w:rsidRPr="005E7238" w:rsidRDefault="002011EF" w:rsidP="002011EF">
      <w:pPr>
        <w:jc w:val="both"/>
      </w:pPr>
      <w:r>
        <w:t xml:space="preserve">      Undanþága skv. 4. mgr.</w:t>
      </w:r>
      <w:r w:rsidRPr="005E7238">
        <w:t xml:space="preserve"> er bundin þeim skilyrðum að þungi fari ekki yfir leyfðan ás- og heildarþunga</w:t>
      </w:r>
      <w:r>
        <w:t xml:space="preserve"> ökutækis</w:t>
      </w:r>
      <w:r w:rsidRPr="005E7238">
        <w:t xml:space="preserve"> samk</w:t>
      </w:r>
      <w:r>
        <w:t>v</w:t>
      </w:r>
      <w:r w:rsidRPr="005E7238">
        <w:t xml:space="preserve">æmt skráningu í ökutækjaskrá. </w:t>
      </w:r>
    </w:p>
    <w:p w:rsidR="002011EF" w:rsidRPr="005E7238" w:rsidRDefault="002011EF" w:rsidP="002011EF">
      <w:pPr>
        <w:jc w:val="both"/>
      </w:pPr>
      <w:r>
        <w:t xml:space="preserve">      Undanþága skv. 4. mgr. gildir ekki þegar ökutæki</w:t>
      </w:r>
      <w:r w:rsidRPr="005E7238">
        <w:t xml:space="preserve"> er notað í öðrum tilgangi en snjómokstri og hálkuvörn, s.s. til almennra farmflutninga.</w:t>
      </w:r>
    </w:p>
    <w:p w:rsidR="002011EF" w:rsidRPr="005E7238" w:rsidRDefault="002011EF" w:rsidP="002011EF">
      <w:pPr>
        <w:ind w:firstLine="360"/>
        <w:jc w:val="both"/>
      </w:pPr>
      <w:r w:rsidRPr="005E7238">
        <w:t>Un</w:t>
      </w:r>
      <w:r>
        <w:t>danþága skv. 4. mgr.</w:t>
      </w:r>
      <w:r w:rsidRPr="005E7238">
        <w:t xml:space="preserve"> fellur úr gildi þegar ás- og heildarþungi ökutækja á vegum er takmarkaður skv. 11. g</w:t>
      </w:r>
      <w:r>
        <w:t>r. reglugerðarinnar sbr. viðauka</w:t>
      </w:r>
      <w:r w:rsidRPr="005E7238">
        <w:t xml:space="preserve"> VI.</w:t>
      </w:r>
    </w:p>
    <w:p w:rsidR="002011EF" w:rsidRPr="006B1FE6" w:rsidRDefault="002011EF" w:rsidP="002011EF">
      <w:pPr>
        <w:rPr>
          <w:b/>
          <w:sz w:val="18"/>
        </w:rPr>
      </w:pPr>
    </w:p>
    <w:p w:rsidR="002011EF" w:rsidRDefault="002011EF" w:rsidP="002011EF">
      <w:pPr>
        <w:numPr>
          <w:ilvl w:val="0"/>
          <w:numId w:val="1"/>
        </w:numPr>
        <w:jc w:val="center"/>
        <w:rPr>
          <w:b/>
          <w:sz w:val="22"/>
        </w:rPr>
      </w:pPr>
      <w:r>
        <w:rPr>
          <w:b/>
          <w:sz w:val="22"/>
        </w:rPr>
        <w:t>gr.</w:t>
      </w:r>
    </w:p>
    <w:p w:rsidR="002011EF" w:rsidRPr="00206D79" w:rsidRDefault="002011EF" w:rsidP="002011EF">
      <w:r w:rsidRPr="00206D79">
        <w:t>Við ákvæði til bráðabirgða bætist ný 2. mgr. sem skal orðast svo:</w:t>
      </w:r>
    </w:p>
    <w:p w:rsidR="002011EF" w:rsidRPr="00902882" w:rsidRDefault="002011EF" w:rsidP="002011EF">
      <w:pPr>
        <w:rPr>
          <w:b/>
          <w:sz w:val="6"/>
        </w:rPr>
      </w:pPr>
    </w:p>
    <w:p w:rsidR="002011EF" w:rsidRPr="00206D79" w:rsidRDefault="002011EF" w:rsidP="002011EF">
      <w:pPr>
        <w:jc w:val="both"/>
      </w:pPr>
      <w:r w:rsidRPr="00206D79">
        <w:t xml:space="preserve">       Ákvæði 4. og. 5. mgr. 5. gr. ásamt viðauka IV. skulu halda gildi sínu til 1. janúar 2017, en að því loknu falla brott.</w:t>
      </w:r>
    </w:p>
    <w:p w:rsidR="002011EF" w:rsidRPr="006B1FE6" w:rsidRDefault="002011EF" w:rsidP="002011EF">
      <w:pPr>
        <w:rPr>
          <w:b/>
          <w:sz w:val="18"/>
        </w:rPr>
      </w:pPr>
    </w:p>
    <w:p w:rsidR="002011EF" w:rsidRDefault="002011EF" w:rsidP="002011EF">
      <w:pPr>
        <w:numPr>
          <w:ilvl w:val="0"/>
          <w:numId w:val="1"/>
        </w:numPr>
        <w:jc w:val="center"/>
        <w:rPr>
          <w:b/>
          <w:sz w:val="22"/>
        </w:rPr>
      </w:pPr>
      <w:r>
        <w:rPr>
          <w:b/>
          <w:sz w:val="22"/>
        </w:rPr>
        <w:t>gr.</w:t>
      </w:r>
    </w:p>
    <w:p w:rsidR="002011EF" w:rsidRPr="00025A63" w:rsidRDefault="002011EF" w:rsidP="002011EF">
      <w:r w:rsidRPr="00025A63">
        <w:t>Viðauki VI. breytist þannig:</w:t>
      </w:r>
    </w:p>
    <w:p w:rsidR="002011EF" w:rsidRPr="00025A63" w:rsidRDefault="002011EF" w:rsidP="002011EF">
      <w:pPr>
        <w:tabs>
          <w:tab w:val="left" w:pos="397"/>
          <w:tab w:val="left" w:pos="709"/>
        </w:tabs>
        <w:ind w:left="705" w:hanging="705"/>
        <w:jc w:val="both"/>
        <w:rPr>
          <w:noProof/>
        </w:rPr>
      </w:pPr>
      <w:r w:rsidRPr="00025A63">
        <w:rPr>
          <w:noProof/>
        </w:rPr>
        <w:tab/>
        <w:t>a.</w:t>
      </w:r>
      <w:r w:rsidRPr="00025A63">
        <w:rPr>
          <w:noProof/>
        </w:rPr>
        <w:tab/>
        <w:t>Í fylgiskjali 1 kemur nýr málsliður aftast í 1. mgr. sem skal orðast svo:</w:t>
      </w:r>
    </w:p>
    <w:p w:rsidR="002011EF" w:rsidRPr="00902882" w:rsidRDefault="002011EF" w:rsidP="002011EF">
      <w:pPr>
        <w:tabs>
          <w:tab w:val="left" w:pos="397"/>
          <w:tab w:val="left" w:pos="709"/>
        </w:tabs>
        <w:jc w:val="both"/>
        <w:rPr>
          <w:noProof/>
          <w:sz w:val="6"/>
        </w:rPr>
      </w:pPr>
    </w:p>
    <w:p w:rsidR="002011EF" w:rsidRPr="00025A63" w:rsidRDefault="002011EF" w:rsidP="002011EF">
      <w:pPr>
        <w:tabs>
          <w:tab w:val="left" w:pos="397"/>
          <w:tab w:val="left" w:pos="709"/>
        </w:tabs>
        <w:ind w:firstLine="397"/>
        <w:jc w:val="both"/>
        <w:rPr>
          <w:noProof/>
          <w:sz w:val="2"/>
          <w:szCs w:val="10"/>
        </w:rPr>
      </w:pPr>
    </w:p>
    <w:p w:rsidR="002011EF" w:rsidRPr="00025A63" w:rsidRDefault="002011EF" w:rsidP="002011EF">
      <w:pPr>
        <w:tabs>
          <w:tab w:val="left" w:pos="397"/>
          <w:tab w:val="left" w:pos="709"/>
        </w:tabs>
        <w:ind w:left="709"/>
        <w:jc w:val="both"/>
        <w:rPr>
          <w:noProof/>
        </w:rPr>
      </w:pPr>
      <w:r w:rsidRPr="00025A63">
        <w:rPr>
          <w:iCs/>
          <w:noProof/>
        </w:rPr>
        <w:t xml:space="preserve">Loftþrýstingur má þó aldrei vera utan þeirra marka sem framleiðandi hjólbarða gefur upp hverju sinni. </w:t>
      </w:r>
    </w:p>
    <w:p w:rsidR="002011EF" w:rsidRPr="00025A63" w:rsidRDefault="002011EF" w:rsidP="002011EF">
      <w:pPr>
        <w:tabs>
          <w:tab w:val="left" w:pos="397"/>
          <w:tab w:val="left" w:pos="709"/>
        </w:tabs>
        <w:ind w:left="709"/>
        <w:jc w:val="both"/>
        <w:rPr>
          <w:noProof/>
          <w:sz w:val="10"/>
        </w:rPr>
      </w:pPr>
    </w:p>
    <w:p w:rsidR="002011EF" w:rsidRPr="00025A63" w:rsidRDefault="002011EF" w:rsidP="002011EF">
      <w:pPr>
        <w:tabs>
          <w:tab w:val="left" w:pos="397"/>
          <w:tab w:val="left" w:pos="709"/>
        </w:tabs>
        <w:jc w:val="both"/>
        <w:rPr>
          <w:b/>
          <w:sz w:val="22"/>
        </w:rPr>
      </w:pPr>
      <w:r w:rsidRPr="00025A63">
        <w:rPr>
          <w:noProof/>
        </w:rPr>
        <w:tab/>
        <w:t>b.</w:t>
      </w:r>
      <w:r w:rsidRPr="00025A63">
        <w:rPr>
          <w:noProof/>
        </w:rPr>
        <w:tab/>
        <w:t>Í fylgiskjali 2 kemur nýr málsliður aftast í 1. mgr. sem skal orðast svo:</w:t>
      </w:r>
    </w:p>
    <w:p w:rsidR="002011EF" w:rsidRPr="00902882" w:rsidRDefault="002011EF" w:rsidP="002011EF">
      <w:pPr>
        <w:tabs>
          <w:tab w:val="left" w:pos="397"/>
          <w:tab w:val="left" w:pos="709"/>
        </w:tabs>
        <w:jc w:val="both"/>
        <w:rPr>
          <w:noProof/>
          <w:sz w:val="6"/>
        </w:rPr>
      </w:pPr>
    </w:p>
    <w:p w:rsidR="002011EF" w:rsidRPr="00025A63" w:rsidRDefault="002011EF" w:rsidP="002011EF">
      <w:pPr>
        <w:tabs>
          <w:tab w:val="left" w:pos="397"/>
          <w:tab w:val="left" w:pos="709"/>
        </w:tabs>
        <w:ind w:firstLine="397"/>
        <w:jc w:val="both"/>
        <w:rPr>
          <w:noProof/>
          <w:sz w:val="2"/>
          <w:szCs w:val="10"/>
        </w:rPr>
      </w:pPr>
    </w:p>
    <w:p w:rsidR="002011EF" w:rsidRPr="00025A63" w:rsidRDefault="002011EF" w:rsidP="002011EF">
      <w:pPr>
        <w:tabs>
          <w:tab w:val="left" w:pos="397"/>
          <w:tab w:val="left" w:pos="709"/>
        </w:tabs>
        <w:ind w:left="709"/>
        <w:jc w:val="both"/>
        <w:rPr>
          <w:noProof/>
        </w:rPr>
      </w:pPr>
      <w:r w:rsidRPr="00025A63">
        <w:rPr>
          <w:iCs/>
          <w:noProof/>
        </w:rPr>
        <w:t xml:space="preserve">Loftþrýstingur má þó aldrei vera utan þeirra marka sem framleiðandi hjólbarða gefur upp hverju sinni. </w:t>
      </w:r>
    </w:p>
    <w:p w:rsidR="002011EF" w:rsidRPr="006B1FE6" w:rsidRDefault="002011EF" w:rsidP="002011EF">
      <w:pPr>
        <w:ind w:left="720"/>
        <w:rPr>
          <w:b/>
          <w:sz w:val="18"/>
        </w:rPr>
      </w:pPr>
    </w:p>
    <w:p w:rsidR="002011EF" w:rsidRDefault="002011EF" w:rsidP="002011EF">
      <w:pPr>
        <w:numPr>
          <w:ilvl w:val="0"/>
          <w:numId w:val="1"/>
        </w:numPr>
        <w:jc w:val="center"/>
        <w:rPr>
          <w:b/>
          <w:sz w:val="22"/>
        </w:rPr>
      </w:pPr>
      <w:r>
        <w:rPr>
          <w:b/>
          <w:sz w:val="22"/>
        </w:rPr>
        <w:t>gr.</w:t>
      </w:r>
    </w:p>
    <w:p w:rsidR="002011EF" w:rsidRPr="00902882" w:rsidRDefault="002011EF" w:rsidP="002011EF">
      <w:pPr>
        <w:jc w:val="both"/>
      </w:pPr>
      <w:r w:rsidRPr="00902882">
        <w:t xml:space="preserve">Í fylgiskjali reglugerðarinnar sem nefnist </w:t>
      </w:r>
      <w:r w:rsidRPr="00902882">
        <w:rPr>
          <w:i/>
        </w:rPr>
        <w:t>„Lengd, breidd og hæð bifreiða og vagnlesta samkvæmt reglum um stærð og þyngd ökutækja“</w:t>
      </w:r>
      <w:r w:rsidRPr="00902882">
        <w:t>, skal í stað núgildandi skýringarmyndar, koma skýringarmynd skv. viðauka I við reglugerð þessa.</w:t>
      </w:r>
    </w:p>
    <w:p w:rsidR="002011EF" w:rsidRPr="006B1FE6" w:rsidRDefault="002011EF" w:rsidP="002011EF">
      <w:pPr>
        <w:rPr>
          <w:b/>
          <w:sz w:val="18"/>
        </w:rPr>
      </w:pPr>
    </w:p>
    <w:p w:rsidR="002011EF" w:rsidRDefault="002011EF" w:rsidP="002011EF">
      <w:pPr>
        <w:numPr>
          <w:ilvl w:val="0"/>
          <w:numId w:val="1"/>
        </w:numPr>
        <w:jc w:val="center"/>
        <w:rPr>
          <w:b/>
          <w:sz w:val="22"/>
        </w:rPr>
      </w:pPr>
      <w:r>
        <w:rPr>
          <w:b/>
          <w:sz w:val="22"/>
        </w:rPr>
        <w:t xml:space="preserve">gr. </w:t>
      </w:r>
    </w:p>
    <w:p w:rsidR="002011EF" w:rsidRPr="00902882" w:rsidRDefault="002011EF" w:rsidP="002011EF">
      <w:pPr>
        <w:tabs>
          <w:tab w:val="left" w:pos="0"/>
          <w:tab w:val="left" w:pos="397"/>
        </w:tabs>
        <w:jc w:val="both"/>
        <w:rPr>
          <w:noProof/>
        </w:rPr>
      </w:pPr>
      <w:r w:rsidRPr="00902882">
        <w:t xml:space="preserve">Í fylgiskjali reglugerðarinnar sem nefnist </w:t>
      </w:r>
      <w:r w:rsidRPr="00902882">
        <w:rPr>
          <w:i/>
        </w:rPr>
        <w:t>„Undanþáguvagnlest fyrir 44 / 49 tonna heildarþunga“</w:t>
      </w:r>
      <w:r w:rsidRPr="00902882">
        <w:t xml:space="preserve"> kemur nýr málsliður</w:t>
      </w:r>
      <w:r w:rsidRPr="00902882">
        <w:rPr>
          <w:noProof/>
        </w:rPr>
        <w:t xml:space="preserve"> aftast í 1. mgr. sem skal orðast svo:</w:t>
      </w:r>
    </w:p>
    <w:p w:rsidR="002011EF" w:rsidRPr="00902882" w:rsidRDefault="002011EF" w:rsidP="002011EF">
      <w:pPr>
        <w:tabs>
          <w:tab w:val="left" w:pos="397"/>
          <w:tab w:val="left" w:pos="709"/>
        </w:tabs>
        <w:ind w:firstLine="397"/>
        <w:jc w:val="both"/>
        <w:rPr>
          <w:noProof/>
          <w:sz w:val="6"/>
        </w:rPr>
      </w:pPr>
    </w:p>
    <w:p w:rsidR="002011EF" w:rsidRPr="00902882" w:rsidRDefault="002011EF" w:rsidP="002011EF">
      <w:pPr>
        <w:tabs>
          <w:tab w:val="left" w:pos="0"/>
          <w:tab w:val="left" w:pos="397"/>
        </w:tabs>
        <w:jc w:val="both"/>
        <w:rPr>
          <w:noProof/>
        </w:rPr>
      </w:pPr>
      <w:r w:rsidRPr="00902882">
        <w:rPr>
          <w:iCs/>
          <w:noProof/>
        </w:rPr>
        <w:tab/>
        <w:t xml:space="preserve">Loftþrýstingur má þó aldrei vera utan þeirra marka sem framleiðandi hjólbarða gefur upp hverju sinni. </w:t>
      </w:r>
    </w:p>
    <w:p w:rsidR="002011EF" w:rsidRPr="006B1FE6" w:rsidRDefault="002011EF" w:rsidP="002011EF">
      <w:pPr>
        <w:rPr>
          <w:sz w:val="18"/>
        </w:rPr>
      </w:pPr>
    </w:p>
    <w:p w:rsidR="002011EF" w:rsidRDefault="002011EF" w:rsidP="002011EF">
      <w:pPr>
        <w:numPr>
          <w:ilvl w:val="0"/>
          <w:numId w:val="1"/>
        </w:numPr>
        <w:jc w:val="center"/>
        <w:rPr>
          <w:b/>
          <w:sz w:val="22"/>
        </w:rPr>
      </w:pPr>
      <w:r>
        <w:rPr>
          <w:b/>
          <w:sz w:val="22"/>
        </w:rPr>
        <w:t>gr.</w:t>
      </w:r>
    </w:p>
    <w:p w:rsidR="002011EF" w:rsidRPr="00902882" w:rsidRDefault="002011EF" w:rsidP="002011EF">
      <w:pPr>
        <w:jc w:val="both"/>
        <w:rPr>
          <w:rFonts w:ascii="Times" w:hAnsi="Times" w:cs="Times"/>
        </w:rPr>
      </w:pPr>
      <w:r w:rsidRPr="00902882">
        <w:rPr>
          <w:rFonts w:ascii="Times" w:hAnsi="Times" w:cs="Times"/>
        </w:rPr>
        <w:t>Reglugerð þessi, sem sett er með heimild í 68., 75. og 76. gr. umferðarlaga nr. 50/1987, öðlast þegar gildi.</w:t>
      </w:r>
    </w:p>
    <w:p w:rsidR="002011EF" w:rsidRDefault="002011EF" w:rsidP="002011EF">
      <w:pPr>
        <w:spacing w:before="240"/>
        <w:jc w:val="center"/>
        <w:rPr>
          <w:i/>
        </w:rPr>
      </w:pPr>
      <w:r>
        <w:rPr>
          <w:i/>
        </w:rPr>
        <w:t xml:space="preserve">Innanríkisráðuneytinu, </w:t>
      </w:r>
    </w:p>
    <w:p w:rsidR="002011EF" w:rsidRDefault="002011EF" w:rsidP="002011EF">
      <w:pPr>
        <w:spacing w:before="240"/>
        <w:jc w:val="center"/>
        <w:rPr>
          <w:i/>
          <w:sz w:val="4"/>
        </w:rPr>
      </w:pPr>
    </w:p>
    <w:p w:rsidR="00C54A6A" w:rsidRPr="006B1FE6" w:rsidRDefault="00C54A6A" w:rsidP="002011EF">
      <w:pPr>
        <w:spacing w:before="240"/>
        <w:jc w:val="center"/>
        <w:rPr>
          <w:i/>
          <w:sz w:val="4"/>
        </w:rPr>
      </w:pPr>
    </w:p>
    <w:p w:rsidR="002011EF" w:rsidRDefault="002011EF" w:rsidP="002011EF">
      <w:pPr>
        <w:pStyle w:val="Undirritun1"/>
        <w:rPr>
          <w:rFonts w:ascii="Times New Roman" w:hAnsi="Times New Roman"/>
          <w:noProof w:val="0"/>
          <w:sz w:val="24"/>
          <w:szCs w:val="24"/>
        </w:rPr>
      </w:pPr>
      <w:r>
        <w:rPr>
          <w:rFonts w:ascii="Times New Roman" w:hAnsi="Times New Roman"/>
          <w:noProof w:val="0"/>
          <w:sz w:val="24"/>
          <w:szCs w:val="24"/>
        </w:rPr>
        <w:t>Ólöf Nordal.</w:t>
      </w:r>
    </w:p>
    <w:p w:rsidR="002011EF" w:rsidRDefault="002011EF" w:rsidP="002011EF">
      <w:pPr>
        <w:pStyle w:val="Undirritun1"/>
        <w:rPr>
          <w:rFonts w:ascii="Times New Roman" w:hAnsi="Times New Roman"/>
          <w:noProof w:val="0"/>
          <w:sz w:val="24"/>
          <w:szCs w:val="24"/>
        </w:rPr>
      </w:pPr>
    </w:p>
    <w:p w:rsidR="00C54A6A" w:rsidRDefault="00C54A6A" w:rsidP="002011EF">
      <w:pPr>
        <w:pStyle w:val="Undirritun1"/>
        <w:rPr>
          <w:rFonts w:ascii="Times New Roman" w:hAnsi="Times New Roman"/>
          <w:noProof w:val="0"/>
          <w:sz w:val="24"/>
          <w:szCs w:val="24"/>
        </w:rPr>
      </w:pPr>
    </w:p>
    <w:p w:rsidR="002011EF" w:rsidRDefault="002011EF" w:rsidP="002011EF">
      <w:pPr>
        <w:pStyle w:val="Undirritun1"/>
        <w:rPr>
          <w:rFonts w:ascii="Times New Roman" w:hAnsi="Times New Roman"/>
          <w:noProof w:val="0"/>
          <w:sz w:val="4"/>
          <w:szCs w:val="24"/>
        </w:rPr>
      </w:pPr>
    </w:p>
    <w:p w:rsidR="002011EF" w:rsidRDefault="002011EF" w:rsidP="002011EF">
      <w:pPr>
        <w:pStyle w:val="Undirritun2"/>
        <w:rPr>
          <w:noProof w:val="0"/>
        </w:rPr>
      </w:pPr>
      <w:r>
        <w:rPr>
          <w:noProof w:val="0"/>
        </w:rPr>
        <w:t>Ragnhildur Hjaltadóttir.</w:t>
      </w:r>
    </w:p>
    <w:p w:rsidR="002011EF" w:rsidRDefault="002011EF" w:rsidP="002011EF">
      <w:pPr>
        <w:pStyle w:val="Undirritun2"/>
        <w:rPr>
          <w:noProof w:val="0"/>
        </w:rPr>
      </w:pPr>
    </w:p>
    <w:p w:rsidR="002011EF" w:rsidRDefault="002011EF" w:rsidP="002011EF">
      <w:pPr>
        <w:pStyle w:val="Undirritun2"/>
        <w:rPr>
          <w:noProof w:val="0"/>
        </w:rPr>
      </w:pPr>
    </w:p>
    <w:p w:rsidR="002011EF" w:rsidRDefault="002011EF" w:rsidP="002011EF">
      <w:pPr>
        <w:pStyle w:val="Undirritun2"/>
        <w:rPr>
          <w:noProof w:val="0"/>
        </w:rPr>
      </w:pPr>
    </w:p>
    <w:p w:rsidR="002011EF" w:rsidRDefault="002011EF" w:rsidP="002011EF">
      <w:pPr>
        <w:jc w:val="center"/>
        <w:rPr>
          <w:b/>
          <w:sz w:val="44"/>
        </w:rPr>
      </w:pPr>
      <w:r>
        <w:rPr>
          <w:b/>
          <w:sz w:val="44"/>
        </w:rPr>
        <w:t>Viðauki I</w:t>
      </w:r>
    </w:p>
    <w:p w:rsidR="002011EF" w:rsidRPr="006B1FE6" w:rsidRDefault="002011EF" w:rsidP="002011EF">
      <w:pPr>
        <w:jc w:val="center"/>
        <w:rPr>
          <w:b/>
          <w:sz w:val="36"/>
        </w:rPr>
      </w:pPr>
    </w:p>
    <w:p w:rsidR="002011EF" w:rsidRDefault="002011EF" w:rsidP="002011EF">
      <w:pPr>
        <w:jc w:val="center"/>
        <w:rPr>
          <w:b/>
          <w:sz w:val="44"/>
        </w:rPr>
      </w:pPr>
      <w:r>
        <w:rPr>
          <w:noProof/>
          <w:color w:val="1F497D"/>
          <w:lang w:eastAsia="is-IS"/>
        </w:rPr>
        <w:drawing>
          <wp:inline distT="0" distB="0" distL="0" distR="0" wp14:anchorId="2D89F910" wp14:editId="21249615">
            <wp:extent cx="5274310" cy="4153071"/>
            <wp:effectExtent l="0" t="0" r="2540" b="0"/>
            <wp:docPr id="2" name="Picture 2" descr="cid:image003.png@01D02C21.DC213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2C21.DC2130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74310" cy="4153071"/>
                    </a:xfrm>
                    <a:prstGeom prst="rect">
                      <a:avLst/>
                    </a:prstGeom>
                    <a:noFill/>
                    <a:ln>
                      <a:noFill/>
                    </a:ln>
                  </pic:spPr>
                </pic:pic>
              </a:graphicData>
            </a:graphic>
          </wp:inline>
        </w:drawing>
      </w:r>
      <w:r>
        <w:rPr>
          <w:b/>
          <w:noProof/>
          <w:sz w:val="44"/>
          <w:lang w:eastAsia="is-IS"/>
        </w:rPr>
        <w:t xml:space="preserve"> </w:t>
      </w: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p>
    <w:p w:rsidR="002011EF" w:rsidRDefault="002011EF" w:rsidP="002011EF">
      <w:pPr>
        <w:jc w:val="center"/>
        <w:rPr>
          <w:b/>
          <w:sz w:val="44"/>
        </w:rPr>
      </w:pPr>
      <w:r>
        <w:rPr>
          <w:b/>
          <w:sz w:val="44"/>
        </w:rPr>
        <w:lastRenderedPageBreak/>
        <w:t>Greinargerð</w:t>
      </w:r>
    </w:p>
    <w:p w:rsidR="002011EF" w:rsidRPr="00711741" w:rsidRDefault="002011EF" w:rsidP="002011EF">
      <w:pPr>
        <w:jc w:val="center"/>
        <w:rPr>
          <w:b/>
          <w:sz w:val="28"/>
        </w:rPr>
      </w:pPr>
    </w:p>
    <w:p w:rsidR="002011EF" w:rsidRDefault="002011EF" w:rsidP="002011EF">
      <w:pPr>
        <w:jc w:val="center"/>
        <w:rPr>
          <w:sz w:val="28"/>
        </w:rPr>
      </w:pPr>
      <w:r>
        <w:rPr>
          <w:sz w:val="28"/>
        </w:rPr>
        <w:t>Um 1. gr.</w:t>
      </w:r>
    </w:p>
    <w:p w:rsidR="002011EF" w:rsidRPr="00C46CF2" w:rsidRDefault="002011EF" w:rsidP="002011EF">
      <w:pPr>
        <w:jc w:val="center"/>
        <w:rPr>
          <w:sz w:val="14"/>
        </w:rPr>
      </w:pPr>
    </w:p>
    <w:p w:rsidR="002011EF" w:rsidRDefault="002011EF" w:rsidP="002011EF">
      <w:pPr>
        <w:spacing w:line="276" w:lineRule="auto"/>
        <w:jc w:val="both"/>
        <w:rPr>
          <w:sz w:val="22"/>
        </w:rPr>
      </w:pPr>
      <w:r>
        <w:rPr>
          <w:sz w:val="22"/>
        </w:rPr>
        <w:t>Lagðar eru til þrjár breytingar á orðskýringaákvæði 2. gr. reglugerðar nr. 155/2007.</w:t>
      </w:r>
    </w:p>
    <w:p w:rsidR="002011EF" w:rsidRPr="00527AED" w:rsidRDefault="002011EF" w:rsidP="002011EF">
      <w:pPr>
        <w:spacing w:line="276" w:lineRule="auto"/>
        <w:jc w:val="both"/>
        <w:rPr>
          <w:sz w:val="10"/>
        </w:rPr>
      </w:pPr>
    </w:p>
    <w:p w:rsidR="002011EF" w:rsidRDefault="002011EF" w:rsidP="002011EF">
      <w:pPr>
        <w:spacing w:line="276" w:lineRule="auto"/>
        <w:jc w:val="both"/>
        <w:rPr>
          <w:sz w:val="22"/>
        </w:rPr>
      </w:pPr>
      <w:r>
        <w:rPr>
          <w:sz w:val="22"/>
        </w:rPr>
        <w:t xml:space="preserve">Í a-lið er skýringu liðvagns breytt á þann veg að við hana bætist nýr og eftirfarandi lokamálsliður: </w:t>
      </w:r>
      <w:r w:rsidRPr="00902882">
        <w:rPr>
          <w:i/>
          <w:sz w:val="22"/>
        </w:rPr>
        <w:t>„Einungis skal vera unnt að tengja eða frátengja hlutana tvo á verkstæði.“</w:t>
      </w:r>
      <w:r>
        <w:rPr>
          <w:sz w:val="22"/>
        </w:rPr>
        <w:t xml:space="preserve"> </w:t>
      </w:r>
      <w:r w:rsidR="00B37E23">
        <w:rPr>
          <w:sz w:val="22"/>
        </w:rPr>
        <w:t xml:space="preserve">Eftirlitsstofnun EFTA, </w:t>
      </w:r>
      <w:r>
        <w:rPr>
          <w:sz w:val="22"/>
        </w:rPr>
        <w:t>ESA</w:t>
      </w:r>
      <w:r w:rsidR="00B37E23">
        <w:rPr>
          <w:sz w:val="22"/>
        </w:rPr>
        <w:t>,</w:t>
      </w:r>
      <w:r>
        <w:rPr>
          <w:sz w:val="22"/>
        </w:rPr>
        <w:t xml:space="preserve"> hefur réttilega bent á að slíkt hafi vantað í orðskýringu reglugerðarinnar til að samræma hana við skilgreiningu tilskipunar 96/53/EB. Þessu er því bætt við og er orðalagið tekið </w:t>
      </w:r>
      <w:r w:rsidR="00B37E23">
        <w:rPr>
          <w:sz w:val="22"/>
        </w:rPr>
        <w:t xml:space="preserve">óbreytt </w:t>
      </w:r>
      <w:r>
        <w:rPr>
          <w:sz w:val="22"/>
        </w:rPr>
        <w:t>úr íslenskri þýðingu tilskipunarinnar.</w:t>
      </w:r>
    </w:p>
    <w:p w:rsidR="002011EF" w:rsidRPr="00527AED" w:rsidRDefault="002011EF" w:rsidP="002011EF">
      <w:pPr>
        <w:spacing w:line="276" w:lineRule="auto"/>
        <w:jc w:val="both"/>
        <w:rPr>
          <w:sz w:val="10"/>
        </w:rPr>
      </w:pPr>
    </w:p>
    <w:p w:rsidR="002011EF" w:rsidRDefault="002011EF" w:rsidP="002011EF">
      <w:pPr>
        <w:spacing w:line="276" w:lineRule="auto"/>
        <w:jc w:val="both"/>
        <w:rPr>
          <w:sz w:val="22"/>
        </w:rPr>
      </w:pPr>
      <w:r>
        <w:rPr>
          <w:sz w:val="22"/>
        </w:rPr>
        <w:t xml:space="preserve">Með b-lið er hugtakinu jafnhitavagn breytt í jafnhitaökutæki án frekari breytinga á sjálfri orðskýringunni. Skýringin talar réttilega um ökutæki, en hugtakið </w:t>
      </w:r>
      <w:r w:rsidRPr="00902882">
        <w:rPr>
          <w:i/>
          <w:sz w:val="22"/>
        </w:rPr>
        <w:t>„jafnhitavagn“</w:t>
      </w:r>
      <w:r>
        <w:rPr>
          <w:sz w:val="22"/>
        </w:rPr>
        <w:t xml:space="preserve"> gefur til kynna að einungis sé átt við vagn, sbr. eftirvagn. </w:t>
      </w:r>
      <w:r w:rsidR="00B37E23">
        <w:rPr>
          <w:sz w:val="22"/>
        </w:rPr>
        <w:t>Þetta hefur valdið misskilningi.</w:t>
      </w:r>
    </w:p>
    <w:p w:rsidR="00B37E23" w:rsidRPr="00527AED" w:rsidRDefault="00B37E23" w:rsidP="002011EF">
      <w:pPr>
        <w:spacing w:line="276" w:lineRule="auto"/>
        <w:jc w:val="both"/>
        <w:rPr>
          <w:sz w:val="10"/>
        </w:rPr>
      </w:pPr>
    </w:p>
    <w:p w:rsidR="002011EF" w:rsidRDefault="002011EF" w:rsidP="002011EF">
      <w:pPr>
        <w:spacing w:line="276" w:lineRule="auto"/>
        <w:jc w:val="both"/>
        <w:rPr>
          <w:sz w:val="22"/>
        </w:rPr>
      </w:pPr>
      <w:r>
        <w:rPr>
          <w:sz w:val="22"/>
        </w:rPr>
        <w:t>Að lokum kveður c-liður á um skýringu á nýju hugtaki, þ.e. óskiptanlegum farmi. ESA hefur gert athugasemd við að reglugerð nr. 155/2007 innihaldi ekki slíka skilgreiningu, í samræmi við tilskipun 96/53/EB, og er úr því bætt með þessu. Skilgreiningin hefur þýðingu varðandi 13. gr. reglugerðar nr. 155/2007 og því er í orðskýringunni að finna tilvísun til þess ákvæðis.</w:t>
      </w:r>
    </w:p>
    <w:p w:rsidR="002011EF" w:rsidRPr="00C46CF2" w:rsidRDefault="002011EF" w:rsidP="002011EF">
      <w:pPr>
        <w:spacing w:line="276" w:lineRule="auto"/>
        <w:jc w:val="both"/>
        <w:rPr>
          <w:sz w:val="14"/>
        </w:rPr>
      </w:pPr>
    </w:p>
    <w:p w:rsidR="002011EF" w:rsidRDefault="002011EF" w:rsidP="002011EF">
      <w:pPr>
        <w:jc w:val="center"/>
        <w:rPr>
          <w:sz w:val="28"/>
        </w:rPr>
      </w:pPr>
      <w:r>
        <w:rPr>
          <w:sz w:val="28"/>
        </w:rPr>
        <w:t>Um 2. gr.</w:t>
      </w:r>
    </w:p>
    <w:p w:rsidR="002011EF" w:rsidRPr="00711741" w:rsidRDefault="002011EF" w:rsidP="002011EF">
      <w:pPr>
        <w:jc w:val="center"/>
        <w:rPr>
          <w:sz w:val="20"/>
        </w:rPr>
      </w:pPr>
    </w:p>
    <w:p w:rsidR="002011EF" w:rsidRPr="00B95B3A" w:rsidRDefault="002011EF" w:rsidP="002011EF">
      <w:pPr>
        <w:spacing w:line="276" w:lineRule="auto"/>
        <w:jc w:val="both"/>
        <w:rPr>
          <w:sz w:val="22"/>
        </w:rPr>
      </w:pPr>
      <w:r>
        <w:rPr>
          <w:sz w:val="22"/>
        </w:rPr>
        <w:t>Með 2. gr. er lagt til að leyfileg</w:t>
      </w:r>
      <w:r w:rsidR="00DF057A">
        <w:rPr>
          <w:sz w:val="22"/>
        </w:rPr>
        <w:t>ri</w:t>
      </w:r>
      <w:r>
        <w:rPr>
          <w:sz w:val="22"/>
        </w:rPr>
        <w:t xml:space="preserve"> </w:t>
      </w:r>
      <w:r w:rsidR="00B37E23">
        <w:rPr>
          <w:sz w:val="22"/>
        </w:rPr>
        <w:t xml:space="preserve">hámarks </w:t>
      </w:r>
      <w:r>
        <w:rPr>
          <w:sz w:val="22"/>
        </w:rPr>
        <w:t>lengd verði breytt úr 13,30 m í 12,00 m. Í tilskipun 96/53/EB er mælt fyrir um að hámarkslengd allra eftirvagna, þ.á</w:t>
      </w:r>
      <w:r w:rsidR="006B746F">
        <w:rPr>
          <w:sz w:val="22"/>
        </w:rPr>
        <w:t>.</w:t>
      </w:r>
      <w:r>
        <w:rPr>
          <w:sz w:val="22"/>
        </w:rPr>
        <w:t xml:space="preserve">m. festivagna, sé 12,00 m og </w:t>
      </w:r>
      <w:r w:rsidR="00C54A6A">
        <w:rPr>
          <w:sz w:val="22"/>
        </w:rPr>
        <w:t xml:space="preserve">um </w:t>
      </w:r>
      <w:r>
        <w:rPr>
          <w:sz w:val="22"/>
        </w:rPr>
        <w:t xml:space="preserve">slíkt hið sama er kveðið á í reglugerð um gerð og búnað ökutækja nr. 822/2004. Með þessari breytingu er því </w:t>
      </w:r>
      <w:r w:rsidR="00DF057A">
        <w:rPr>
          <w:sz w:val="22"/>
        </w:rPr>
        <w:t xml:space="preserve">eytt </w:t>
      </w:r>
      <w:r>
        <w:rPr>
          <w:sz w:val="22"/>
        </w:rPr>
        <w:t xml:space="preserve">þessu misræmi milli reglugerða nr. 155/2007 og </w:t>
      </w:r>
      <w:r w:rsidR="00C54A6A">
        <w:rPr>
          <w:sz w:val="22"/>
        </w:rPr>
        <w:t xml:space="preserve">nr. </w:t>
      </w:r>
      <w:r>
        <w:rPr>
          <w:sz w:val="22"/>
        </w:rPr>
        <w:t>82</w:t>
      </w:r>
      <w:r w:rsidR="00C54A6A">
        <w:rPr>
          <w:sz w:val="22"/>
        </w:rPr>
        <w:t>2/2004, hvað þetta varðar.</w:t>
      </w:r>
    </w:p>
    <w:p w:rsidR="002011EF" w:rsidRPr="00C46CF2" w:rsidRDefault="002011EF" w:rsidP="002011EF">
      <w:pPr>
        <w:spacing w:line="276" w:lineRule="auto"/>
        <w:rPr>
          <w:sz w:val="14"/>
        </w:rPr>
      </w:pPr>
    </w:p>
    <w:p w:rsidR="002011EF" w:rsidRDefault="002011EF" w:rsidP="002011EF">
      <w:pPr>
        <w:jc w:val="center"/>
        <w:rPr>
          <w:sz w:val="28"/>
        </w:rPr>
      </w:pPr>
      <w:r>
        <w:rPr>
          <w:sz w:val="28"/>
        </w:rPr>
        <w:t>Um 3. gr.</w:t>
      </w:r>
    </w:p>
    <w:p w:rsidR="002011EF" w:rsidRPr="00C46CF2" w:rsidRDefault="002011EF" w:rsidP="002011EF">
      <w:pPr>
        <w:jc w:val="center"/>
        <w:rPr>
          <w:sz w:val="14"/>
        </w:rPr>
      </w:pPr>
    </w:p>
    <w:p w:rsidR="002011EF" w:rsidRDefault="002011EF" w:rsidP="002011EF">
      <w:pPr>
        <w:spacing w:line="276" w:lineRule="auto"/>
        <w:jc w:val="both"/>
        <w:rPr>
          <w:sz w:val="22"/>
        </w:rPr>
      </w:pPr>
      <w:r>
        <w:rPr>
          <w:sz w:val="22"/>
        </w:rPr>
        <w:t xml:space="preserve">Lögð er til ný útfærsla á 7. gr. reglugerðar nr. 155/2007. </w:t>
      </w:r>
      <w:r w:rsidRPr="00686DDA">
        <w:rPr>
          <w:sz w:val="22"/>
        </w:rPr>
        <w:t>Núgildandi 7. gr. helst</w:t>
      </w:r>
      <w:r>
        <w:rPr>
          <w:sz w:val="22"/>
        </w:rPr>
        <w:t xml:space="preserve"> þó efnislega </w:t>
      </w:r>
      <w:r w:rsidRPr="00686DDA">
        <w:rPr>
          <w:sz w:val="22"/>
        </w:rPr>
        <w:t xml:space="preserve"> óbreytt </w:t>
      </w:r>
      <w:r w:rsidRPr="00686DDA">
        <w:rPr>
          <w:i/>
          <w:sz w:val="22"/>
        </w:rPr>
        <w:t>(1.-3. mgr. verða hér 1., 2. og 5. mgr.)</w:t>
      </w:r>
      <w:r w:rsidRPr="00686DDA">
        <w:rPr>
          <w:sz w:val="22"/>
        </w:rPr>
        <w:t xml:space="preserve"> Inn koma</w:t>
      </w:r>
      <w:r>
        <w:rPr>
          <w:sz w:val="22"/>
        </w:rPr>
        <w:t xml:space="preserve"> hins vegar</w:t>
      </w:r>
      <w:r w:rsidRPr="00686DDA">
        <w:rPr>
          <w:sz w:val="22"/>
        </w:rPr>
        <w:t xml:space="preserve"> nýjar 3. og 4. mgr. s</w:t>
      </w:r>
      <w:r>
        <w:rPr>
          <w:sz w:val="22"/>
        </w:rPr>
        <w:t>em varða ökutæki með áfestan búnað til snjómoksturs.</w:t>
      </w:r>
    </w:p>
    <w:p w:rsidR="002011EF" w:rsidRPr="00527AED" w:rsidRDefault="002011EF" w:rsidP="002011EF">
      <w:pPr>
        <w:spacing w:line="276" w:lineRule="auto"/>
        <w:jc w:val="both"/>
        <w:rPr>
          <w:sz w:val="10"/>
        </w:rPr>
      </w:pPr>
    </w:p>
    <w:p w:rsidR="002011EF" w:rsidRDefault="002011EF" w:rsidP="002011EF">
      <w:pPr>
        <w:spacing w:line="276" w:lineRule="auto"/>
        <w:jc w:val="both"/>
        <w:rPr>
          <w:sz w:val="22"/>
        </w:rPr>
      </w:pPr>
      <w:r>
        <w:rPr>
          <w:sz w:val="22"/>
        </w:rPr>
        <w:t>Það liggur fyrir að þörf er á skýrum og afdráttarlausum reglum um leyfilega breidd ökutækja sem notuð eru til snjómokstur</w:t>
      </w:r>
      <w:r w:rsidR="00C54A6A">
        <w:rPr>
          <w:sz w:val="22"/>
        </w:rPr>
        <w:t>s</w:t>
      </w:r>
      <w:r>
        <w:rPr>
          <w:sz w:val="22"/>
        </w:rPr>
        <w:t xml:space="preserve">, enda falla þau ökutæki illa að þeim reglum sem í dag gilda, með tilheyrandi óvissu fyrir þá sem við slíkt starfa. </w:t>
      </w:r>
      <w:r w:rsidR="00C54A6A">
        <w:rPr>
          <w:sz w:val="22"/>
        </w:rPr>
        <w:t xml:space="preserve">Bæði </w:t>
      </w:r>
      <w:r>
        <w:rPr>
          <w:sz w:val="22"/>
        </w:rPr>
        <w:t>Samgöngustofa og Vegagerðin eru sammála um að skýra þurfi reglur um þetta og eru nýjar 3. og 4. mgr. 7. gr., sem hér eru lagðar til, settar fram í þeim tilgangi. Er þannig kveðið á um leyfilega hámarksbreidd í 3. mgr. og að við vissar aðstæður megi víkja frá þeirri breidd skv. 4. mgr. Í framkvæmd kæmi slíkt helst til þegar ökutæki nota</w:t>
      </w:r>
      <w:r w:rsidR="00C54A6A">
        <w:rPr>
          <w:sz w:val="22"/>
        </w:rPr>
        <w:t>r</w:t>
      </w:r>
      <w:r>
        <w:rPr>
          <w:sz w:val="22"/>
        </w:rPr>
        <w:t xml:space="preserve"> svokallaðan hliðarplóg. Með öryggi annarra vegfarenda að leiðarljósi </w:t>
      </w:r>
      <w:r w:rsidR="00C54A6A">
        <w:rPr>
          <w:sz w:val="22"/>
        </w:rPr>
        <w:t>er talið</w:t>
      </w:r>
      <w:r>
        <w:rPr>
          <w:sz w:val="22"/>
        </w:rPr>
        <w:t xml:space="preserve"> nauðsynlegt að heimila slíka notkun aðeins við vissar aðstæður, sbr. skilyrði 4. mgr. </w:t>
      </w:r>
    </w:p>
    <w:p w:rsidR="002011EF" w:rsidRPr="00711741" w:rsidRDefault="002011EF" w:rsidP="002011EF">
      <w:pPr>
        <w:spacing w:line="276" w:lineRule="auto"/>
        <w:jc w:val="both"/>
        <w:rPr>
          <w:sz w:val="10"/>
        </w:rPr>
      </w:pPr>
    </w:p>
    <w:p w:rsidR="002011EF" w:rsidRDefault="002011EF" w:rsidP="002011EF">
      <w:pPr>
        <w:spacing w:line="276" w:lineRule="auto"/>
        <w:jc w:val="both"/>
        <w:rPr>
          <w:sz w:val="22"/>
        </w:rPr>
      </w:pPr>
      <w:r>
        <w:rPr>
          <w:sz w:val="22"/>
        </w:rPr>
        <w:t xml:space="preserve">Þess skal getið að litið var til danskra reglna varðandi framsetningu ákvæðisins, þ.e. að leyfileg breidd ökutækis með áfestan búnað til snjómoksturs sé 3,50 m en að heimilt sé að víkja frá því þegar útstæður búnaður </w:t>
      </w:r>
      <w:r w:rsidRPr="00711741">
        <w:rPr>
          <w:i/>
          <w:sz w:val="22"/>
        </w:rPr>
        <w:t>(hliðarplógur)</w:t>
      </w:r>
      <w:r>
        <w:rPr>
          <w:sz w:val="22"/>
        </w:rPr>
        <w:t xml:space="preserve"> er í notkun, þ.e. snjómokstri.</w:t>
      </w:r>
    </w:p>
    <w:p w:rsidR="002011EF" w:rsidRDefault="002011EF" w:rsidP="002011EF">
      <w:pPr>
        <w:spacing w:line="276" w:lineRule="auto"/>
        <w:jc w:val="both"/>
        <w:rPr>
          <w:sz w:val="22"/>
        </w:rPr>
      </w:pPr>
    </w:p>
    <w:p w:rsidR="002011EF" w:rsidRDefault="002011EF" w:rsidP="002011EF">
      <w:pPr>
        <w:jc w:val="center"/>
        <w:rPr>
          <w:sz w:val="28"/>
        </w:rPr>
      </w:pPr>
      <w:r>
        <w:rPr>
          <w:sz w:val="28"/>
        </w:rPr>
        <w:t>Um 4. gr.</w:t>
      </w:r>
    </w:p>
    <w:p w:rsidR="002011EF" w:rsidRPr="00C46CF2" w:rsidRDefault="002011EF" w:rsidP="002011EF">
      <w:pPr>
        <w:jc w:val="center"/>
        <w:rPr>
          <w:sz w:val="14"/>
        </w:rPr>
      </w:pPr>
    </w:p>
    <w:p w:rsidR="002011EF" w:rsidRDefault="002011EF" w:rsidP="002011EF">
      <w:pPr>
        <w:spacing w:line="276" w:lineRule="auto"/>
        <w:ind w:right="-58"/>
        <w:jc w:val="both"/>
        <w:rPr>
          <w:sz w:val="22"/>
          <w:szCs w:val="22"/>
          <w:lang w:val="da-DK"/>
        </w:rPr>
      </w:pPr>
      <w:r>
        <w:rPr>
          <w:sz w:val="22"/>
          <w:szCs w:val="22"/>
          <w:lang w:val="da-DK"/>
        </w:rPr>
        <w:lastRenderedPageBreak/>
        <w:t>Lögð er til ný útfærsla 9. gr. reglugerðar nr. 155/2007. Samkvæmt núgildandi 9. gr. er leyfileg hæð ökutækja, án frekari sundurliðunar, 4,20 m. Tilskipun 96/53/EB mælir hins vegar fyrir um þá meginreglu að 4,00 m sé leyfileg hæð, auk þess sem reglugerð um gerð og búnað ökutækja nr. 822/2004 heimilar aðeins vissum flokkum ökutækja að vera 4,20 m</w:t>
      </w:r>
      <w:r w:rsidR="00C54A6A">
        <w:rPr>
          <w:sz w:val="22"/>
          <w:szCs w:val="22"/>
          <w:lang w:val="da-DK"/>
        </w:rPr>
        <w:t xml:space="preserve"> á hæð</w:t>
      </w:r>
      <w:r>
        <w:rPr>
          <w:sz w:val="22"/>
          <w:szCs w:val="22"/>
          <w:lang w:val="da-DK"/>
        </w:rPr>
        <w:t>.</w:t>
      </w:r>
    </w:p>
    <w:p w:rsidR="002011EF" w:rsidRPr="009B5000" w:rsidRDefault="002011EF" w:rsidP="002011EF">
      <w:pPr>
        <w:spacing w:line="276" w:lineRule="auto"/>
        <w:ind w:right="-58"/>
        <w:jc w:val="both"/>
        <w:rPr>
          <w:sz w:val="10"/>
          <w:szCs w:val="22"/>
          <w:lang w:val="da-DK"/>
        </w:rPr>
      </w:pPr>
    </w:p>
    <w:p w:rsidR="002011EF" w:rsidRPr="009B5000" w:rsidRDefault="002011EF" w:rsidP="002011EF">
      <w:pPr>
        <w:spacing w:line="276" w:lineRule="auto"/>
        <w:ind w:right="-58"/>
        <w:jc w:val="both"/>
        <w:rPr>
          <w:sz w:val="22"/>
          <w:szCs w:val="22"/>
          <w:lang w:val="da-DK"/>
        </w:rPr>
      </w:pPr>
      <w:r w:rsidRPr="009B5000">
        <w:rPr>
          <w:sz w:val="22"/>
          <w:szCs w:val="22"/>
          <w:lang w:val="da-DK"/>
        </w:rPr>
        <w:t>Niðurstaða</w:t>
      </w:r>
      <w:r w:rsidR="00DF057A">
        <w:rPr>
          <w:sz w:val="22"/>
          <w:szCs w:val="22"/>
          <w:lang w:val="da-DK"/>
        </w:rPr>
        <w:t>n</w:t>
      </w:r>
      <w:r w:rsidRPr="009B5000">
        <w:rPr>
          <w:sz w:val="22"/>
          <w:szCs w:val="22"/>
          <w:lang w:val="da-DK"/>
        </w:rPr>
        <w:t xml:space="preserve"> er sú að leggja til að leyfileg hæð ökutækja verði 4,00 m, en í nýrri 2. mgr. komi þó fram að í vissum tilfellum sé vörubifreiðum heimilt að fara upp að 4,20 m. </w:t>
      </w:r>
    </w:p>
    <w:p w:rsidR="002011EF" w:rsidRPr="009B5000" w:rsidRDefault="002011EF" w:rsidP="002011EF">
      <w:pPr>
        <w:spacing w:line="276" w:lineRule="auto"/>
        <w:jc w:val="both"/>
        <w:rPr>
          <w:sz w:val="22"/>
          <w:szCs w:val="22"/>
          <w:lang w:val="da-DK"/>
        </w:rPr>
      </w:pPr>
      <w:r w:rsidRPr="009B5000">
        <w:rPr>
          <w:sz w:val="22"/>
          <w:szCs w:val="22"/>
        </w:rPr>
        <w:t>Slík heimild</w:t>
      </w:r>
      <w:r>
        <w:rPr>
          <w:sz w:val="22"/>
          <w:szCs w:val="22"/>
        </w:rPr>
        <w:t xml:space="preserve"> rúmast innan tilskipunar </w:t>
      </w:r>
      <w:r w:rsidRPr="009B5000">
        <w:rPr>
          <w:sz w:val="22"/>
          <w:szCs w:val="22"/>
        </w:rPr>
        <w:t>96/53/EB með síðar</w:t>
      </w:r>
      <w:r w:rsidR="00D13D1F">
        <w:rPr>
          <w:sz w:val="22"/>
          <w:szCs w:val="22"/>
        </w:rPr>
        <w:t xml:space="preserve">i breytingum og vísast þar til ákvæðis </w:t>
      </w:r>
      <w:r w:rsidRPr="009B5000">
        <w:rPr>
          <w:sz w:val="22"/>
          <w:szCs w:val="22"/>
        </w:rPr>
        <w:t xml:space="preserve">4.2 (a). Einnig er þessi afmarkaða heimild nauðsynleg hérlendis m.t.t. ákveðinna flutninga á vegum landsins. Er hún þar að auki ekki til þess fallin að hafa neikvæð áhrif á umferðaröryggi. </w:t>
      </w:r>
      <w:r w:rsidR="00D13D1F">
        <w:rPr>
          <w:sz w:val="22"/>
          <w:szCs w:val="22"/>
        </w:rPr>
        <w:t>Ekki er talið að</w:t>
      </w:r>
      <w:r w:rsidRPr="009B5000">
        <w:rPr>
          <w:sz w:val="22"/>
          <w:szCs w:val="22"/>
        </w:rPr>
        <w:t xml:space="preserve"> breytingar þessar séu til þess fallnar að hafa íþyngjandi eða kostnaðaraukandi áhrif</w:t>
      </w:r>
      <w:r w:rsidR="00D13D1F">
        <w:rPr>
          <w:sz w:val="22"/>
          <w:szCs w:val="22"/>
        </w:rPr>
        <w:t xml:space="preserve"> á hagsmunaðila</w:t>
      </w:r>
      <w:r w:rsidRPr="009B5000">
        <w:rPr>
          <w:sz w:val="22"/>
          <w:szCs w:val="22"/>
        </w:rPr>
        <w:t>.</w:t>
      </w:r>
    </w:p>
    <w:p w:rsidR="002011EF" w:rsidRPr="00C46CF2" w:rsidRDefault="002011EF" w:rsidP="002011EF">
      <w:pPr>
        <w:ind w:right="-694"/>
        <w:rPr>
          <w:sz w:val="14"/>
          <w:szCs w:val="22"/>
          <w:lang w:val="da-DK"/>
        </w:rPr>
      </w:pPr>
    </w:p>
    <w:p w:rsidR="002011EF" w:rsidRDefault="002011EF" w:rsidP="002011EF">
      <w:pPr>
        <w:jc w:val="center"/>
        <w:rPr>
          <w:sz w:val="28"/>
        </w:rPr>
      </w:pPr>
      <w:r>
        <w:rPr>
          <w:sz w:val="28"/>
        </w:rPr>
        <w:t>Um 5. gr.</w:t>
      </w:r>
    </w:p>
    <w:p w:rsidR="002011EF" w:rsidRPr="00C46CF2" w:rsidRDefault="002011EF" w:rsidP="002011EF">
      <w:pPr>
        <w:jc w:val="center"/>
        <w:rPr>
          <w:sz w:val="14"/>
        </w:rPr>
      </w:pPr>
    </w:p>
    <w:p w:rsidR="002011EF" w:rsidRDefault="002011EF" w:rsidP="002011EF">
      <w:pPr>
        <w:spacing w:line="276" w:lineRule="auto"/>
        <w:ind w:right="-58"/>
        <w:jc w:val="both"/>
        <w:rPr>
          <w:sz w:val="22"/>
          <w:szCs w:val="22"/>
          <w:lang w:val="da-DK"/>
        </w:rPr>
      </w:pPr>
      <w:r>
        <w:rPr>
          <w:sz w:val="22"/>
          <w:szCs w:val="22"/>
          <w:lang w:val="da-DK"/>
        </w:rPr>
        <w:t xml:space="preserve">Í 5. gr. er að finna viðbót við 12. gr. reglugerðar nr. 155/2007. Er nánar tiltekið um að ræða tillögu sem stafar frá Vegagerðinni og mælir fyrir um ákveðnar </w:t>
      </w:r>
      <w:r w:rsidR="00D13D1F">
        <w:rPr>
          <w:sz w:val="22"/>
          <w:szCs w:val="22"/>
          <w:lang w:val="da-DK"/>
        </w:rPr>
        <w:t>ívilnanir</w:t>
      </w:r>
      <w:r>
        <w:rPr>
          <w:sz w:val="22"/>
          <w:szCs w:val="22"/>
          <w:lang w:val="da-DK"/>
        </w:rPr>
        <w:t xml:space="preserve"> varðandi hámarksþyngd ökutækja sem notuð eru til snjómoksturs og/eða hálkuvarnar. Er þannig tekið fram að við slíka notkun séu ökutæki undanþegin</w:t>
      </w:r>
      <w:r w:rsidRPr="002F7C0C">
        <w:rPr>
          <w:sz w:val="22"/>
          <w:szCs w:val="22"/>
          <w:lang w:val="da-DK"/>
        </w:rPr>
        <w:t xml:space="preserve"> ákvæðum um ás- og heildarþunga</w:t>
      </w:r>
      <w:r>
        <w:rPr>
          <w:sz w:val="22"/>
          <w:szCs w:val="22"/>
          <w:lang w:val="da-DK"/>
        </w:rPr>
        <w:t>, að ákveðnum skilyrðum uppfylltum.</w:t>
      </w:r>
    </w:p>
    <w:p w:rsidR="002011EF" w:rsidRPr="00C46CF2" w:rsidRDefault="002011EF" w:rsidP="002011EF">
      <w:pPr>
        <w:ind w:right="-694"/>
        <w:rPr>
          <w:sz w:val="14"/>
          <w:szCs w:val="22"/>
          <w:lang w:val="da-DK"/>
        </w:rPr>
      </w:pPr>
    </w:p>
    <w:p w:rsidR="002011EF" w:rsidRDefault="002011EF" w:rsidP="002011EF">
      <w:pPr>
        <w:jc w:val="center"/>
        <w:rPr>
          <w:sz w:val="28"/>
        </w:rPr>
      </w:pPr>
      <w:r>
        <w:rPr>
          <w:sz w:val="28"/>
        </w:rPr>
        <w:t>Um 6. gr.</w:t>
      </w:r>
    </w:p>
    <w:p w:rsidR="002011EF" w:rsidRPr="00C46CF2" w:rsidRDefault="002011EF" w:rsidP="002011EF">
      <w:pPr>
        <w:jc w:val="center"/>
        <w:rPr>
          <w:sz w:val="14"/>
        </w:rPr>
      </w:pPr>
    </w:p>
    <w:p w:rsidR="002011EF" w:rsidRPr="00A06935" w:rsidRDefault="002011EF" w:rsidP="002011EF">
      <w:pPr>
        <w:spacing w:line="276" w:lineRule="auto"/>
        <w:ind w:right="-58"/>
        <w:jc w:val="both"/>
        <w:rPr>
          <w:sz w:val="22"/>
          <w:szCs w:val="22"/>
          <w:lang w:val="da-DK"/>
        </w:rPr>
      </w:pPr>
      <w:r w:rsidRPr="00A06935">
        <w:rPr>
          <w:sz w:val="22"/>
          <w:szCs w:val="22"/>
          <w:lang w:val="da-DK"/>
        </w:rPr>
        <w:t xml:space="preserve">Með 6. gr. er lögð til ný 2. mgr. í ákvæði til bráðabirgða sem kveður á um að 4. og 5. mgr. 5. gr. ásamt viðauka IV. skuli gilda til 1. janúar 2017, en síðan falla brott. Í þessu felst afnám </w:t>
      </w:r>
      <w:r w:rsidR="00D13D1F" w:rsidRPr="00A06935">
        <w:rPr>
          <w:sz w:val="22"/>
          <w:szCs w:val="22"/>
          <w:lang w:val="da-DK"/>
        </w:rPr>
        <w:t>undanþágu fyrir vagnlest</w:t>
      </w:r>
      <w:r w:rsidR="006C160E">
        <w:rPr>
          <w:sz w:val="22"/>
          <w:szCs w:val="22"/>
          <w:lang w:val="da-DK"/>
        </w:rPr>
        <w:t>i</w:t>
      </w:r>
      <w:r w:rsidR="00D13D1F" w:rsidRPr="00A06935">
        <w:rPr>
          <w:sz w:val="22"/>
          <w:szCs w:val="22"/>
          <w:lang w:val="da-DK"/>
        </w:rPr>
        <w:t>r sem er</w:t>
      </w:r>
      <w:r w:rsidR="006B746F">
        <w:rPr>
          <w:sz w:val="22"/>
          <w:szCs w:val="22"/>
          <w:lang w:val="da-DK"/>
        </w:rPr>
        <w:t>u</w:t>
      </w:r>
      <w:r w:rsidRPr="00A06935">
        <w:rPr>
          <w:sz w:val="22"/>
          <w:szCs w:val="22"/>
          <w:lang w:val="da-DK"/>
        </w:rPr>
        <w:t xml:space="preserve"> 25,25 m</w:t>
      </w:r>
      <w:r w:rsidR="00D13D1F" w:rsidRPr="00A06935">
        <w:rPr>
          <w:sz w:val="22"/>
          <w:szCs w:val="22"/>
          <w:lang w:val="da-DK"/>
        </w:rPr>
        <w:t xml:space="preserve"> að lengd</w:t>
      </w:r>
      <w:r w:rsidR="00F25AC9" w:rsidRPr="00A06935">
        <w:rPr>
          <w:sz w:val="22"/>
          <w:szCs w:val="22"/>
          <w:lang w:val="da-DK"/>
        </w:rPr>
        <w:t xml:space="preserve">, en ljóst þykir að </w:t>
      </w:r>
      <w:r w:rsidRPr="00A06935">
        <w:rPr>
          <w:sz w:val="22"/>
          <w:szCs w:val="22"/>
          <w:lang w:val="da-DK"/>
        </w:rPr>
        <w:t>undanþágan felur í sér það ákvæði reglugerðar nr. 155/2007 sem gengur lengst</w:t>
      </w:r>
      <w:r w:rsidR="00F25AC9" w:rsidRPr="00A06935">
        <w:rPr>
          <w:sz w:val="22"/>
          <w:szCs w:val="22"/>
          <w:lang w:val="da-DK"/>
        </w:rPr>
        <w:t xml:space="preserve"> </w:t>
      </w:r>
      <w:r w:rsidRPr="00A06935">
        <w:rPr>
          <w:sz w:val="22"/>
          <w:szCs w:val="22"/>
          <w:lang w:val="da-DK"/>
        </w:rPr>
        <w:t>umfram</w:t>
      </w:r>
      <w:r w:rsidR="00F25AC9" w:rsidRPr="00A06935">
        <w:rPr>
          <w:sz w:val="22"/>
          <w:szCs w:val="22"/>
          <w:lang w:val="da-DK"/>
        </w:rPr>
        <w:t xml:space="preserve"> þær</w:t>
      </w:r>
      <w:r w:rsidRPr="00A06935">
        <w:rPr>
          <w:sz w:val="22"/>
          <w:szCs w:val="22"/>
          <w:lang w:val="da-DK"/>
        </w:rPr>
        <w:t xml:space="preserve"> meginreglur </w:t>
      </w:r>
      <w:r w:rsidRPr="00A06935">
        <w:rPr>
          <w:i/>
          <w:sz w:val="22"/>
          <w:szCs w:val="22"/>
          <w:lang w:val="da-DK"/>
        </w:rPr>
        <w:t>(hámarkslengdir)</w:t>
      </w:r>
      <w:r w:rsidRPr="00A06935">
        <w:rPr>
          <w:sz w:val="22"/>
          <w:szCs w:val="22"/>
          <w:lang w:val="da-DK"/>
        </w:rPr>
        <w:t xml:space="preserve"> sem tilskipun 96/53/EB kveður á um í I. viðauka. </w:t>
      </w:r>
    </w:p>
    <w:p w:rsidR="002011EF" w:rsidRPr="00A06935" w:rsidRDefault="002011EF" w:rsidP="002011EF">
      <w:pPr>
        <w:spacing w:line="276" w:lineRule="auto"/>
        <w:ind w:right="-58"/>
        <w:jc w:val="both"/>
        <w:rPr>
          <w:sz w:val="22"/>
          <w:szCs w:val="22"/>
          <w:lang w:val="da-DK"/>
        </w:rPr>
      </w:pPr>
    </w:p>
    <w:p w:rsidR="002011EF" w:rsidRPr="00A06935" w:rsidRDefault="002011EF" w:rsidP="00DC7D1C">
      <w:pPr>
        <w:spacing w:line="276" w:lineRule="auto"/>
        <w:jc w:val="both"/>
        <w:rPr>
          <w:sz w:val="22"/>
          <w:szCs w:val="22"/>
        </w:rPr>
      </w:pPr>
      <w:r w:rsidRPr="00A06935">
        <w:rPr>
          <w:sz w:val="22"/>
          <w:szCs w:val="22"/>
        </w:rPr>
        <w:t xml:space="preserve">Vagnlestir þær sem falla undir undanþáguákvæðið hafa einungis verið nokkur ár á íslenskum þjóðvegum. Þær voru í fyrstu háðar ströngum ákvæðum um akstursleiðir, máttu ekki vera í umferð nema á ákveðnum tímum og gefið var úr skriflegt leyfi sem ökumenn þurftu að framvísa til lögreglu eða umferðareftirlitsmanna. Þetta var strax óvinsælt meðal ökumanna sem margir hverjir töldu þessar löngu vagnlestir henta mjög illa á </w:t>
      </w:r>
      <w:r w:rsidR="006B746F">
        <w:rPr>
          <w:sz w:val="22"/>
          <w:szCs w:val="22"/>
        </w:rPr>
        <w:t>í</w:t>
      </w:r>
      <w:r w:rsidRPr="00A06935">
        <w:rPr>
          <w:sz w:val="22"/>
          <w:szCs w:val="22"/>
        </w:rPr>
        <w:t>slenska vegakerfinu. Einnig hefur alla tíð borið nokkuð á kvörtunum annarra ökumanna sem telja öryggi sínu ógnað því erfitt sé að fara fram úr þessum vagnlestum auk þess sem vagnarnir væru</w:t>
      </w:r>
      <w:r w:rsidR="00D13D1F" w:rsidRPr="00A06935">
        <w:rPr>
          <w:sz w:val="22"/>
          <w:szCs w:val="22"/>
        </w:rPr>
        <w:t xml:space="preserve"> óstöðugir þar sem ójöfnur væru á </w:t>
      </w:r>
      <w:r w:rsidRPr="00A06935">
        <w:rPr>
          <w:sz w:val="22"/>
          <w:szCs w:val="22"/>
        </w:rPr>
        <w:t>vegum.</w:t>
      </w:r>
    </w:p>
    <w:p w:rsidR="002011EF" w:rsidRPr="00A06935" w:rsidRDefault="002011EF" w:rsidP="00DC7D1C">
      <w:pPr>
        <w:spacing w:line="276" w:lineRule="auto"/>
        <w:rPr>
          <w:sz w:val="22"/>
          <w:szCs w:val="22"/>
        </w:rPr>
      </w:pPr>
    </w:p>
    <w:p w:rsidR="002011EF" w:rsidRPr="00A06935" w:rsidRDefault="002011EF" w:rsidP="00DC7D1C">
      <w:pPr>
        <w:spacing w:line="276" w:lineRule="auto"/>
        <w:rPr>
          <w:sz w:val="22"/>
          <w:szCs w:val="22"/>
        </w:rPr>
      </w:pPr>
      <w:r w:rsidRPr="00A06935">
        <w:rPr>
          <w:sz w:val="22"/>
          <w:szCs w:val="22"/>
        </w:rPr>
        <w:t xml:space="preserve">Samantekið </w:t>
      </w:r>
      <w:r w:rsidR="00F25AC9" w:rsidRPr="00A06935">
        <w:rPr>
          <w:sz w:val="22"/>
          <w:szCs w:val="22"/>
        </w:rPr>
        <w:t>eru</w:t>
      </w:r>
      <w:r w:rsidRPr="00A06935">
        <w:rPr>
          <w:sz w:val="22"/>
          <w:szCs w:val="22"/>
        </w:rPr>
        <w:t xml:space="preserve"> rökin gegn umræddu ákvæði 4. og 5. mgr. 5. gr. reglugerðar nr. 155/2007 </w:t>
      </w:r>
      <w:r w:rsidR="00F25AC9" w:rsidRPr="00A06935">
        <w:rPr>
          <w:sz w:val="22"/>
          <w:szCs w:val="22"/>
        </w:rPr>
        <w:t xml:space="preserve">þessi: </w:t>
      </w:r>
    </w:p>
    <w:p w:rsidR="002011EF" w:rsidRPr="00A06935" w:rsidRDefault="002011EF" w:rsidP="00DC7D1C">
      <w:pPr>
        <w:spacing w:line="276" w:lineRule="auto"/>
        <w:ind w:firstLine="720"/>
        <w:rPr>
          <w:sz w:val="22"/>
          <w:szCs w:val="22"/>
        </w:rPr>
      </w:pPr>
      <w:r w:rsidRPr="00A06935">
        <w:rPr>
          <w:b/>
          <w:sz w:val="22"/>
          <w:szCs w:val="22"/>
        </w:rPr>
        <w:t>1.</w:t>
      </w:r>
      <w:r w:rsidRPr="00A06935">
        <w:rPr>
          <w:sz w:val="22"/>
          <w:szCs w:val="22"/>
        </w:rPr>
        <w:t xml:space="preserve">  </w:t>
      </w:r>
      <w:r w:rsidRPr="00A06935">
        <w:rPr>
          <w:b/>
          <w:sz w:val="22"/>
          <w:szCs w:val="22"/>
        </w:rPr>
        <w:t>Skapar óþægindi fyrir aðra vegfarendur.</w:t>
      </w:r>
    </w:p>
    <w:p w:rsidR="002011EF" w:rsidRPr="00A06935" w:rsidRDefault="002011EF" w:rsidP="00DC7D1C">
      <w:pPr>
        <w:spacing w:line="276" w:lineRule="auto"/>
        <w:rPr>
          <w:sz w:val="22"/>
          <w:szCs w:val="22"/>
        </w:rPr>
      </w:pPr>
      <w:r w:rsidRPr="00A06935">
        <w:rPr>
          <w:sz w:val="22"/>
          <w:szCs w:val="22"/>
        </w:rPr>
        <w:t>             </w:t>
      </w:r>
      <w:r w:rsidRPr="00A06935">
        <w:rPr>
          <w:sz w:val="22"/>
          <w:szCs w:val="22"/>
        </w:rPr>
        <w:tab/>
        <w:t> a) Í framúrakstri.</w:t>
      </w:r>
    </w:p>
    <w:p w:rsidR="002011EF" w:rsidRPr="00A06935" w:rsidRDefault="002011EF" w:rsidP="00DC7D1C">
      <w:pPr>
        <w:spacing w:line="276" w:lineRule="auto"/>
        <w:rPr>
          <w:sz w:val="22"/>
          <w:szCs w:val="22"/>
        </w:rPr>
      </w:pPr>
      <w:r w:rsidRPr="00A06935">
        <w:rPr>
          <w:sz w:val="22"/>
          <w:szCs w:val="22"/>
        </w:rPr>
        <w:t>               </w:t>
      </w:r>
      <w:r w:rsidRPr="00A06935">
        <w:rPr>
          <w:sz w:val="22"/>
          <w:szCs w:val="22"/>
        </w:rPr>
        <w:tab/>
        <w:t xml:space="preserve"> b) Skert útsýni á veg.</w:t>
      </w:r>
    </w:p>
    <w:p w:rsidR="002011EF" w:rsidRPr="00A06935" w:rsidRDefault="002011EF" w:rsidP="00DC7D1C">
      <w:pPr>
        <w:spacing w:line="276" w:lineRule="auto"/>
        <w:rPr>
          <w:sz w:val="22"/>
          <w:szCs w:val="22"/>
        </w:rPr>
      </w:pPr>
      <w:r w:rsidRPr="00A06935">
        <w:rPr>
          <w:sz w:val="22"/>
          <w:szCs w:val="22"/>
        </w:rPr>
        <w:t>               </w:t>
      </w:r>
      <w:r w:rsidRPr="00A06935">
        <w:rPr>
          <w:sz w:val="22"/>
          <w:szCs w:val="22"/>
        </w:rPr>
        <w:tab/>
        <w:t xml:space="preserve"> c) Rás á ójöfnum vegum.</w:t>
      </w:r>
    </w:p>
    <w:p w:rsidR="002011EF" w:rsidRPr="00A06935" w:rsidRDefault="002011EF" w:rsidP="00DC7D1C">
      <w:pPr>
        <w:spacing w:line="276" w:lineRule="auto"/>
        <w:ind w:firstLine="720"/>
        <w:rPr>
          <w:sz w:val="22"/>
          <w:szCs w:val="22"/>
        </w:rPr>
      </w:pPr>
      <w:r w:rsidRPr="00A06935">
        <w:rPr>
          <w:b/>
          <w:sz w:val="22"/>
          <w:szCs w:val="22"/>
        </w:rPr>
        <w:t>2.</w:t>
      </w:r>
      <w:r w:rsidRPr="00A06935">
        <w:rPr>
          <w:sz w:val="22"/>
          <w:szCs w:val="22"/>
        </w:rPr>
        <w:t xml:space="preserve">  </w:t>
      </w:r>
      <w:r w:rsidRPr="00A06935">
        <w:rPr>
          <w:b/>
          <w:sz w:val="22"/>
          <w:szCs w:val="22"/>
        </w:rPr>
        <w:t>Rásun á vegi.</w:t>
      </w:r>
    </w:p>
    <w:p w:rsidR="002011EF" w:rsidRPr="00A06935" w:rsidRDefault="002011EF" w:rsidP="00DC7D1C">
      <w:pPr>
        <w:spacing w:line="276" w:lineRule="auto"/>
        <w:ind w:left="1440"/>
        <w:jc w:val="both"/>
        <w:rPr>
          <w:sz w:val="22"/>
          <w:szCs w:val="22"/>
        </w:rPr>
      </w:pPr>
      <w:r w:rsidRPr="00A06935">
        <w:rPr>
          <w:sz w:val="22"/>
          <w:szCs w:val="22"/>
        </w:rPr>
        <w:t>a) Viðhald vega hefur undanfarin ár verið í lágmarki, brotnað hefur úr</w:t>
      </w:r>
    </w:p>
    <w:p w:rsidR="002011EF" w:rsidRPr="00A06935" w:rsidRDefault="002011EF" w:rsidP="00DC7D1C">
      <w:pPr>
        <w:spacing w:line="276" w:lineRule="auto"/>
        <w:ind w:left="1440"/>
        <w:jc w:val="both"/>
        <w:rPr>
          <w:sz w:val="22"/>
          <w:szCs w:val="22"/>
        </w:rPr>
      </w:pPr>
      <w:r w:rsidRPr="00A06935">
        <w:rPr>
          <w:sz w:val="22"/>
          <w:szCs w:val="22"/>
        </w:rPr>
        <w:t xml:space="preserve">     köntum, ójöfnur myndast </w:t>
      </w:r>
      <w:r w:rsidR="006C160E">
        <w:rPr>
          <w:sz w:val="22"/>
          <w:szCs w:val="22"/>
        </w:rPr>
        <w:t xml:space="preserve">á </w:t>
      </w:r>
      <w:r w:rsidRPr="00A06935">
        <w:rPr>
          <w:sz w:val="22"/>
          <w:szCs w:val="22"/>
        </w:rPr>
        <w:t>yfirborði</w:t>
      </w:r>
    </w:p>
    <w:p w:rsidR="002011EF" w:rsidRPr="00A06935" w:rsidRDefault="002011EF" w:rsidP="00DC7D1C">
      <w:pPr>
        <w:spacing w:line="276" w:lineRule="auto"/>
        <w:ind w:left="1428"/>
        <w:jc w:val="both"/>
        <w:rPr>
          <w:sz w:val="22"/>
          <w:szCs w:val="22"/>
        </w:rPr>
      </w:pPr>
      <w:r w:rsidRPr="00A06935">
        <w:rPr>
          <w:sz w:val="22"/>
          <w:szCs w:val="22"/>
        </w:rPr>
        <w:t xml:space="preserve">b) Mikið af þeim gámagrindum sem notaðar eru í þessum flutningum </w:t>
      </w:r>
    </w:p>
    <w:p w:rsidR="002011EF" w:rsidRPr="00A06935" w:rsidRDefault="002011EF" w:rsidP="00DC7D1C">
      <w:pPr>
        <w:spacing w:line="276" w:lineRule="auto"/>
        <w:ind w:left="1428"/>
        <w:jc w:val="both"/>
        <w:rPr>
          <w:sz w:val="22"/>
          <w:szCs w:val="22"/>
        </w:rPr>
      </w:pPr>
      <w:r w:rsidRPr="00A06935">
        <w:rPr>
          <w:sz w:val="22"/>
          <w:szCs w:val="22"/>
        </w:rPr>
        <w:t xml:space="preserve">    eru ú</w:t>
      </w:r>
      <w:r w:rsidR="00D13D1F" w:rsidRPr="00A06935">
        <w:rPr>
          <w:sz w:val="22"/>
          <w:szCs w:val="22"/>
        </w:rPr>
        <w:t>r sér ge</w:t>
      </w:r>
      <w:r w:rsidRPr="00A06935">
        <w:rPr>
          <w:sz w:val="22"/>
          <w:szCs w:val="22"/>
        </w:rPr>
        <w:t>n</w:t>
      </w:r>
      <w:r w:rsidR="00D13D1F" w:rsidRPr="00A06935">
        <w:rPr>
          <w:sz w:val="22"/>
          <w:szCs w:val="22"/>
        </w:rPr>
        <w:t>gn</w:t>
      </w:r>
      <w:r w:rsidRPr="00A06935">
        <w:rPr>
          <w:sz w:val="22"/>
          <w:szCs w:val="22"/>
        </w:rPr>
        <w:t xml:space="preserve">ar, gamlar og slitnar og rása þ.a.l. frekar en ella. </w:t>
      </w:r>
    </w:p>
    <w:p w:rsidR="002011EF" w:rsidRPr="00A06935" w:rsidRDefault="002011EF" w:rsidP="00DC7D1C">
      <w:pPr>
        <w:spacing w:line="276" w:lineRule="auto"/>
        <w:ind w:left="1701" w:hanging="273"/>
        <w:rPr>
          <w:sz w:val="22"/>
          <w:szCs w:val="22"/>
        </w:rPr>
      </w:pPr>
      <w:r w:rsidRPr="00A06935">
        <w:rPr>
          <w:sz w:val="22"/>
          <w:szCs w:val="22"/>
        </w:rPr>
        <w:lastRenderedPageBreak/>
        <w:t>c)  Þjóðvegakerfið, þ.e. í Viðauka IV, samanstendur af mjóum akbrautum þar sem virkilega reynir á þegar ökumenn mætast, algeng breidd er 7</w:t>
      </w:r>
      <w:r w:rsidR="006C160E">
        <w:rPr>
          <w:sz w:val="22"/>
          <w:szCs w:val="22"/>
        </w:rPr>
        <w:t>-</w:t>
      </w:r>
      <w:r w:rsidRPr="00A06935">
        <w:rPr>
          <w:sz w:val="22"/>
          <w:szCs w:val="22"/>
        </w:rPr>
        <w:t>8 metrar, þar af slitlag akbrautar 6</w:t>
      </w:r>
      <w:r w:rsidR="006C160E">
        <w:rPr>
          <w:sz w:val="22"/>
          <w:szCs w:val="22"/>
        </w:rPr>
        <w:t>-</w:t>
      </w:r>
      <w:r w:rsidRPr="00A06935">
        <w:rPr>
          <w:sz w:val="22"/>
          <w:szCs w:val="22"/>
        </w:rPr>
        <w:t>7 metrar.  Það gefur því auga</w:t>
      </w:r>
      <w:r w:rsidR="006C160E">
        <w:rPr>
          <w:sz w:val="22"/>
          <w:szCs w:val="22"/>
        </w:rPr>
        <w:t xml:space="preserve"> </w:t>
      </w:r>
      <w:r w:rsidRPr="00A06935">
        <w:rPr>
          <w:sz w:val="22"/>
          <w:szCs w:val="22"/>
        </w:rPr>
        <w:t>leið að tveir jafnbreiðir bílar (2,6 m) hafa ekki mikið svigrúm við mætingar og framúrakstur.</w:t>
      </w:r>
    </w:p>
    <w:p w:rsidR="002011EF" w:rsidRPr="00A06935" w:rsidRDefault="002011EF" w:rsidP="00DC7D1C">
      <w:pPr>
        <w:spacing w:line="276" w:lineRule="auto"/>
        <w:ind w:firstLine="708"/>
        <w:rPr>
          <w:b/>
          <w:sz w:val="22"/>
          <w:szCs w:val="22"/>
        </w:rPr>
      </w:pPr>
      <w:r w:rsidRPr="00A06935">
        <w:rPr>
          <w:b/>
          <w:sz w:val="22"/>
          <w:szCs w:val="22"/>
        </w:rPr>
        <w:t xml:space="preserve">3.  Óánægja ökumanna. </w:t>
      </w:r>
    </w:p>
    <w:p w:rsidR="002011EF" w:rsidRPr="00A06935" w:rsidRDefault="002011EF" w:rsidP="00DC7D1C">
      <w:pPr>
        <w:spacing w:line="276" w:lineRule="auto"/>
        <w:ind w:left="1701" w:hanging="261"/>
        <w:jc w:val="both"/>
        <w:rPr>
          <w:sz w:val="22"/>
          <w:szCs w:val="22"/>
        </w:rPr>
      </w:pPr>
      <w:r w:rsidRPr="00A06935">
        <w:rPr>
          <w:sz w:val="22"/>
          <w:szCs w:val="22"/>
        </w:rPr>
        <w:t xml:space="preserve">a) Margir þeirra ökumanna sem þurfa að aka umræddum vagnlestum kvarta undan þeim, t.d. sé sérlega erfitt að hleypa öðrum ökutækjum framúr þar sem lengd og rásun vagnanna gerði þá óörugga.  </w:t>
      </w:r>
    </w:p>
    <w:p w:rsidR="002011EF" w:rsidRPr="00A06935" w:rsidRDefault="002011EF" w:rsidP="00DC7D1C">
      <w:pPr>
        <w:spacing w:line="276" w:lineRule="auto"/>
        <w:ind w:left="1701" w:hanging="1701"/>
        <w:rPr>
          <w:sz w:val="22"/>
          <w:szCs w:val="22"/>
        </w:rPr>
      </w:pPr>
      <w:r w:rsidRPr="00A06935">
        <w:rPr>
          <w:sz w:val="22"/>
          <w:szCs w:val="22"/>
        </w:rPr>
        <w:t>                        b) Ofangreint skapi því óþarfa óþægindi og jafnvel óþarfa hættu í umferð.</w:t>
      </w:r>
    </w:p>
    <w:p w:rsidR="002011EF" w:rsidRPr="00A06935" w:rsidRDefault="002011EF" w:rsidP="00DC7D1C">
      <w:pPr>
        <w:spacing w:line="276" w:lineRule="auto"/>
        <w:rPr>
          <w:sz w:val="22"/>
          <w:szCs w:val="22"/>
        </w:rPr>
      </w:pPr>
    </w:p>
    <w:p w:rsidR="002011EF" w:rsidRPr="00A06935" w:rsidRDefault="002011EF" w:rsidP="006B746F">
      <w:pPr>
        <w:spacing w:line="276" w:lineRule="auto"/>
        <w:jc w:val="both"/>
        <w:rPr>
          <w:sz w:val="22"/>
          <w:szCs w:val="22"/>
        </w:rPr>
      </w:pPr>
      <w:r w:rsidRPr="00A06935">
        <w:rPr>
          <w:sz w:val="22"/>
          <w:szCs w:val="22"/>
        </w:rPr>
        <w:t xml:space="preserve">Bent er á að auðveldlega mætti draga þá vagna sem um ræðir með styttri dráttarbílum </w:t>
      </w:r>
      <w:r w:rsidRPr="00A06935">
        <w:rPr>
          <w:i/>
          <w:sz w:val="22"/>
          <w:szCs w:val="22"/>
        </w:rPr>
        <w:t>(2ja ása)</w:t>
      </w:r>
      <w:r w:rsidRPr="00A06935">
        <w:rPr>
          <w:sz w:val="22"/>
          <w:szCs w:val="22"/>
        </w:rPr>
        <w:t xml:space="preserve"> og þar með vera innan þeirra marka sem skilgreind eru í h-lið 1. mgr. 5. gr. reglugerðarinnar. Á móti kæmi þó nokkuð skert flutningsgeta.</w:t>
      </w:r>
    </w:p>
    <w:p w:rsidR="002011EF" w:rsidRPr="00A06935" w:rsidRDefault="002011EF" w:rsidP="00DC7D1C">
      <w:pPr>
        <w:spacing w:line="276" w:lineRule="auto"/>
        <w:ind w:right="-58"/>
        <w:jc w:val="both"/>
        <w:rPr>
          <w:sz w:val="22"/>
          <w:szCs w:val="22"/>
          <w:lang w:val="da-DK"/>
        </w:rPr>
      </w:pPr>
    </w:p>
    <w:p w:rsidR="002011EF" w:rsidRPr="00A06935" w:rsidRDefault="002011EF" w:rsidP="00DC7D1C">
      <w:pPr>
        <w:spacing w:line="276" w:lineRule="auto"/>
        <w:ind w:right="-58"/>
        <w:jc w:val="both"/>
        <w:rPr>
          <w:sz w:val="22"/>
          <w:szCs w:val="22"/>
          <w:lang w:val="da-DK"/>
        </w:rPr>
      </w:pPr>
      <w:r w:rsidRPr="00A06935">
        <w:rPr>
          <w:sz w:val="22"/>
          <w:szCs w:val="22"/>
          <w:lang w:val="da-DK"/>
        </w:rPr>
        <w:t xml:space="preserve">Með því að leggja til hartnær tveggja ára svigrúm þar til reglan tekur gildi er komið til móts við þá flutningsaðila sem e.t.v. hafa notfært sér undanþágu þessa og miðað sinn tækjakost út frá henni. Samkvæmt upplýsingum Samgöngustofu eru flutningar á grundvelli 25,25 m undanþágunnar ekki það algengir að breyting þessi komi til með að hafa verulega íþyngjandi áhrif á flutningsaðila, þó svo að vissulega geti þau orðið einhver hvað kostnað varðar. </w:t>
      </w:r>
    </w:p>
    <w:p w:rsidR="002011EF" w:rsidRPr="00A06935" w:rsidRDefault="002011EF" w:rsidP="002011EF">
      <w:pPr>
        <w:ind w:right="-694"/>
        <w:rPr>
          <w:sz w:val="22"/>
          <w:szCs w:val="22"/>
          <w:lang w:val="da-DK"/>
        </w:rPr>
      </w:pPr>
    </w:p>
    <w:p w:rsidR="002011EF" w:rsidRPr="00A06935" w:rsidRDefault="002011EF" w:rsidP="002011EF">
      <w:pPr>
        <w:jc w:val="center"/>
        <w:rPr>
          <w:sz w:val="28"/>
          <w:szCs w:val="28"/>
        </w:rPr>
      </w:pPr>
      <w:r w:rsidRPr="00A06935">
        <w:rPr>
          <w:sz w:val="28"/>
          <w:szCs w:val="28"/>
        </w:rPr>
        <w:t>Um 7. gr.</w:t>
      </w:r>
    </w:p>
    <w:p w:rsidR="002011EF" w:rsidRPr="00A06935" w:rsidRDefault="002011EF" w:rsidP="002011EF">
      <w:pPr>
        <w:jc w:val="center"/>
        <w:rPr>
          <w:sz w:val="22"/>
          <w:szCs w:val="22"/>
        </w:rPr>
      </w:pPr>
    </w:p>
    <w:p w:rsidR="002011EF" w:rsidRPr="00A06935" w:rsidRDefault="002011EF" w:rsidP="002011EF">
      <w:pPr>
        <w:spacing w:line="276" w:lineRule="auto"/>
        <w:ind w:right="-58"/>
        <w:jc w:val="both"/>
        <w:rPr>
          <w:sz w:val="22"/>
          <w:szCs w:val="22"/>
          <w:lang w:val="da-DK"/>
        </w:rPr>
      </w:pPr>
      <w:r w:rsidRPr="00A06935">
        <w:rPr>
          <w:sz w:val="22"/>
          <w:szCs w:val="22"/>
          <w:lang w:val="da-DK"/>
        </w:rPr>
        <w:t xml:space="preserve">Með ákvæðinu er lögð til viðbót við fylgiskjöl 1 og 2 með  viðauka VI reglugerðar nr. 155/2007, en í fylgiskjölunum er m.a. að finna rýmri reglur um loftþrýsting í hjólbörðum en skv. meginreglu 3. mgr. 10. gr. reglugerðarinnar. </w:t>
      </w:r>
      <w:r w:rsidR="00442E06" w:rsidRPr="00A06935">
        <w:rPr>
          <w:sz w:val="22"/>
          <w:szCs w:val="22"/>
          <w:lang w:val="da-DK"/>
        </w:rPr>
        <w:t>Talið er brýnt að</w:t>
      </w:r>
      <w:r w:rsidRPr="00A06935">
        <w:rPr>
          <w:sz w:val="22"/>
          <w:szCs w:val="22"/>
          <w:lang w:val="da-DK"/>
        </w:rPr>
        <w:t xml:space="preserve"> bæta við því skilyrði sem hér er lagt til, þ.e. að þrátt fyrir hinar rýmri reglur megi í þessum tilfellum aldrei aka með lægri loftþrýsting í hjólbörðum en mælt er fyrir um af framleiðanda hjólbarðanna hverju sinni. Er tillaga þessi sett fram til að auka umferðaröryggi, enda ljóst að aksturseiginleikum og öryggi er fórnað ef ekið er með loftþrýsting sem hjólbarðar ökutækis eru ekki hannaðir fyrir. Loks skal tekið fram að regla þessi ætti að vera auðveld í framkvæmd, bæði fyrir flutningsaðila og eftirlitsaðila, enda</w:t>
      </w:r>
      <w:r w:rsidR="00F25AC9" w:rsidRPr="00A06935">
        <w:rPr>
          <w:sz w:val="22"/>
          <w:szCs w:val="22"/>
          <w:lang w:val="da-DK"/>
        </w:rPr>
        <w:t xml:space="preserve"> koma</w:t>
      </w:r>
      <w:r w:rsidRPr="00A06935">
        <w:rPr>
          <w:sz w:val="22"/>
          <w:szCs w:val="22"/>
          <w:lang w:val="da-DK"/>
        </w:rPr>
        <w:t xml:space="preserve"> upplýsingarnar sem um ræðir</w:t>
      </w:r>
      <w:r w:rsidR="00F25AC9" w:rsidRPr="00A06935">
        <w:rPr>
          <w:sz w:val="22"/>
          <w:szCs w:val="22"/>
          <w:lang w:val="da-DK"/>
        </w:rPr>
        <w:t xml:space="preserve"> almennt fram á hjólbörðunum sjálfum.</w:t>
      </w:r>
    </w:p>
    <w:p w:rsidR="002011EF" w:rsidRPr="00A06935" w:rsidRDefault="002011EF" w:rsidP="002011EF">
      <w:pPr>
        <w:ind w:right="-694"/>
        <w:rPr>
          <w:sz w:val="22"/>
          <w:szCs w:val="22"/>
          <w:lang w:val="da-DK"/>
        </w:rPr>
      </w:pPr>
    </w:p>
    <w:p w:rsidR="002011EF" w:rsidRPr="00A06935" w:rsidRDefault="002011EF" w:rsidP="002011EF">
      <w:pPr>
        <w:jc w:val="center"/>
        <w:rPr>
          <w:sz w:val="28"/>
          <w:szCs w:val="28"/>
        </w:rPr>
      </w:pPr>
      <w:r w:rsidRPr="00A06935">
        <w:rPr>
          <w:sz w:val="28"/>
          <w:szCs w:val="28"/>
        </w:rPr>
        <w:t>Um 8. gr.</w:t>
      </w:r>
    </w:p>
    <w:p w:rsidR="002011EF" w:rsidRPr="00A06935" w:rsidRDefault="002011EF" w:rsidP="002011EF">
      <w:pPr>
        <w:jc w:val="center"/>
        <w:rPr>
          <w:sz w:val="22"/>
          <w:szCs w:val="22"/>
        </w:rPr>
      </w:pPr>
    </w:p>
    <w:p w:rsidR="002011EF" w:rsidRPr="00A06935" w:rsidRDefault="002011EF" w:rsidP="002011EF">
      <w:pPr>
        <w:spacing w:line="276" w:lineRule="auto"/>
        <w:ind w:right="-58"/>
        <w:rPr>
          <w:sz w:val="22"/>
          <w:szCs w:val="22"/>
          <w:lang w:val="da-DK"/>
        </w:rPr>
      </w:pPr>
      <w:r w:rsidRPr="00A06935">
        <w:rPr>
          <w:sz w:val="22"/>
          <w:szCs w:val="22"/>
          <w:lang w:val="da-DK"/>
        </w:rPr>
        <w:t>Með 8. gr. er málum á skýringarmynd í fylgiskjali með reglugerðinni breytt til samræmis við þær efnislegu breytingar sem gerðar eru í fyrri ákvæðum reglugerðardraganna.</w:t>
      </w:r>
    </w:p>
    <w:p w:rsidR="002011EF" w:rsidRPr="00A06935" w:rsidRDefault="002011EF" w:rsidP="002011EF">
      <w:pPr>
        <w:ind w:right="-694"/>
        <w:rPr>
          <w:sz w:val="22"/>
          <w:szCs w:val="22"/>
          <w:lang w:val="da-DK"/>
        </w:rPr>
      </w:pPr>
    </w:p>
    <w:p w:rsidR="002011EF" w:rsidRPr="00A06935" w:rsidRDefault="002011EF" w:rsidP="002011EF">
      <w:pPr>
        <w:jc w:val="center"/>
        <w:rPr>
          <w:sz w:val="28"/>
          <w:szCs w:val="28"/>
        </w:rPr>
      </w:pPr>
      <w:r w:rsidRPr="00A06935">
        <w:rPr>
          <w:sz w:val="28"/>
          <w:szCs w:val="28"/>
        </w:rPr>
        <w:t>Um 9. gr.</w:t>
      </w:r>
    </w:p>
    <w:p w:rsidR="002011EF" w:rsidRPr="00A06935" w:rsidRDefault="002011EF" w:rsidP="002011EF">
      <w:pPr>
        <w:jc w:val="center"/>
        <w:rPr>
          <w:sz w:val="22"/>
          <w:szCs w:val="22"/>
        </w:rPr>
      </w:pPr>
    </w:p>
    <w:p w:rsidR="002011EF" w:rsidRPr="00A06935" w:rsidRDefault="002011EF" w:rsidP="002011EF">
      <w:pPr>
        <w:ind w:right="-694"/>
        <w:rPr>
          <w:sz w:val="22"/>
          <w:szCs w:val="22"/>
          <w:lang w:val="da-DK"/>
        </w:rPr>
      </w:pPr>
      <w:r w:rsidRPr="00A06935">
        <w:rPr>
          <w:sz w:val="22"/>
          <w:szCs w:val="22"/>
          <w:lang w:val="da-DK"/>
        </w:rPr>
        <w:t>Ákvæði 9. gr. er sama eðlis og ákvæði 7. gr. og því vísast til skýringa með 7. gr.</w:t>
      </w:r>
    </w:p>
    <w:p w:rsidR="001C05CB" w:rsidRPr="00A06935" w:rsidRDefault="001C05CB">
      <w:pPr>
        <w:rPr>
          <w:sz w:val="22"/>
          <w:szCs w:val="22"/>
        </w:rPr>
      </w:pPr>
    </w:p>
    <w:sectPr w:rsidR="001C05CB" w:rsidRPr="00A06935" w:rsidSect="00F1553A">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0F" w:rsidRDefault="00DF7C0F" w:rsidP="00DF7C0F">
      <w:r>
        <w:separator/>
      </w:r>
    </w:p>
  </w:endnote>
  <w:endnote w:type="continuationSeparator" w:id="0">
    <w:p w:rsidR="00DF7C0F" w:rsidRDefault="00DF7C0F" w:rsidP="00DF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0F" w:rsidRDefault="00DF7C0F" w:rsidP="00DF7C0F">
      <w:r>
        <w:separator/>
      </w:r>
    </w:p>
  </w:footnote>
  <w:footnote w:type="continuationSeparator" w:id="0">
    <w:p w:rsidR="00DF7C0F" w:rsidRDefault="00DF7C0F" w:rsidP="00DF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A" w:rsidRDefault="006E7A2E" w:rsidP="00F1553A">
    <w:pPr>
      <w:rPr>
        <w:lang w:val="en-GB"/>
      </w:rPr>
    </w:pPr>
    <w:sdt>
      <w:sdtPr>
        <w:id w:val="-10454505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96484" o:spid="_x0000_s2049" type="#_x0000_t136" style="position:absolute;margin-left:0;margin-top:0;width:334.55pt;height:250.9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2618B0">
      <w:t>-------------------------------------------------------------------------------------------------------</w:t>
    </w:r>
  </w:p>
  <w:p w:rsidR="00E31151" w:rsidRPr="006B1FE6" w:rsidRDefault="006E7A2E" w:rsidP="00BA3C2B">
    <w:pPr>
      <w:pStyle w:val="Header"/>
      <w:jc w:val="cent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5773"/>
    <w:multiLevelType w:val="hybridMultilevel"/>
    <w:tmpl w:val="4E8A52B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EF"/>
    <w:rsid w:val="000B1DA8"/>
    <w:rsid w:val="00137777"/>
    <w:rsid w:val="001C05CB"/>
    <w:rsid w:val="002011EF"/>
    <w:rsid w:val="002618B0"/>
    <w:rsid w:val="002C6476"/>
    <w:rsid w:val="003D4E7D"/>
    <w:rsid w:val="003D7BA9"/>
    <w:rsid w:val="00442E06"/>
    <w:rsid w:val="006B746F"/>
    <w:rsid w:val="006C160E"/>
    <w:rsid w:val="006E7A2E"/>
    <w:rsid w:val="007945A9"/>
    <w:rsid w:val="00910729"/>
    <w:rsid w:val="00A06935"/>
    <w:rsid w:val="00A45684"/>
    <w:rsid w:val="00B37E23"/>
    <w:rsid w:val="00C032E8"/>
    <w:rsid w:val="00C54A6A"/>
    <w:rsid w:val="00D13D1F"/>
    <w:rsid w:val="00DC7D1C"/>
    <w:rsid w:val="00DF057A"/>
    <w:rsid w:val="00DF7C0F"/>
    <w:rsid w:val="00E46EBA"/>
    <w:rsid w:val="00F25AC9"/>
    <w:rsid w:val="00F508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1EF"/>
    <w:pPr>
      <w:tabs>
        <w:tab w:val="center" w:pos="4320"/>
        <w:tab w:val="right" w:pos="8640"/>
      </w:tabs>
    </w:pPr>
  </w:style>
  <w:style w:type="character" w:customStyle="1" w:styleId="HeaderChar">
    <w:name w:val="Header Char"/>
    <w:basedOn w:val="DefaultParagraphFont"/>
    <w:link w:val="Header"/>
    <w:rsid w:val="002011EF"/>
    <w:rPr>
      <w:rFonts w:ascii="Times New Roman" w:eastAsia="Times New Roman" w:hAnsi="Times New Roman" w:cs="Times New Roman"/>
      <w:sz w:val="24"/>
      <w:szCs w:val="24"/>
    </w:rPr>
  </w:style>
  <w:style w:type="paragraph" w:customStyle="1" w:styleId="Undirritun1">
    <w:name w:val="Undirritun 1"/>
    <w:basedOn w:val="Normal"/>
    <w:autoRedefine/>
    <w:qFormat/>
    <w:rsid w:val="002011EF"/>
    <w:pPr>
      <w:tabs>
        <w:tab w:val="left" w:pos="397"/>
        <w:tab w:val="left" w:pos="709"/>
        <w:tab w:val="right" w:pos="7796"/>
      </w:tabs>
      <w:jc w:val="center"/>
    </w:pPr>
    <w:rPr>
      <w:rFonts w:ascii="Times" w:hAnsi="Times"/>
      <w:b/>
      <w:noProof/>
      <w:sz w:val="21"/>
      <w:szCs w:val="20"/>
      <w:lang w:eastAsia="en-GB"/>
    </w:rPr>
  </w:style>
  <w:style w:type="paragraph" w:customStyle="1" w:styleId="Undirritun2">
    <w:name w:val="Undirritun 2"/>
    <w:basedOn w:val="Normal"/>
    <w:autoRedefine/>
    <w:qFormat/>
    <w:rsid w:val="002011EF"/>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styleId="BalloonText">
    <w:name w:val="Balloon Text"/>
    <w:basedOn w:val="Normal"/>
    <w:link w:val="BalloonTextChar"/>
    <w:uiPriority w:val="99"/>
    <w:semiHidden/>
    <w:unhideWhenUsed/>
    <w:rsid w:val="00DF7C0F"/>
    <w:rPr>
      <w:rFonts w:ascii="Tahoma" w:hAnsi="Tahoma" w:cs="Tahoma"/>
      <w:sz w:val="16"/>
      <w:szCs w:val="16"/>
    </w:rPr>
  </w:style>
  <w:style w:type="character" w:customStyle="1" w:styleId="BalloonTextChar">
    <w:name w:val="Balloon Text Char"/>
    <w:basedOn w:val="DefaultParagraphFont"/>
    <w:link w:val="BalloonText"/>
    <w:uiPriority w:val="99"/>
    <w:semiHidden/>
    <w:rsid w:val="00DF7C0F"/>
    <w:rPr>
      <w:rFonts w:ascii="Tahoma" w:eastAsia="Times New Roman" w:hAnsi="Tahoma" w:cs="Tahoma"/>
      <w:sz w:val="16"/>
      <w:szCs w:val="16"/>
    </w:rPr>
  </w:style>
  <w:style w:type="paragraph" w:styleId="Footer">
    <w:name w:val="footer"/>
    <w:basedOn w:val="Normal"/>
    <w:link w:val="FooterChar"/>
    <w:uiPriority w:val="99"/>
    <w:unhideWhenUsed/>
    <w:rsid w:val="00DF7C0F"/>
    <w:pPr>
      <w:tabs>
        <w:tab w:val="center" w:pos="4536"/>
        <w:tab w:val="right" w:pos="9072"/>
      </w:tabs>
    </w:pPr>
  </w:style>
  <w:style w:type="character" w:customStyle="1" w:styleId="FooterChar">
    <w:name w:val="Footer Char"/>
    <w:basedOn w:val="DefaultParagraphFont"/>
    <w:link w:val="Footer"/>
    <w:uiPriority w:val="99"/>
    <w:rsid w:val="00DF7C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57A"/>
    <w:rPr>
      <w:sz w:val="16"/>
      <w:szCs w:val="16"/>
    </w:rPr>
  </w:style>
  <w:style w:type="paragraph" w:styleId="CommentText">
    <w:name w:val="annotation text"/>
    <w:basedOn w:val="Normal"/>
    <w:link w:val="CommentTextChar"/>
    <w:uiPriority w:val="99"/>
    <w:semiHidden/>
    <w:unhideWhenUsed/>
    <w:rsid w:val="00DF057A"/>
    <w:rPr>
      <w:sz w:val="20"/>
      <w:szCs w:val="20"/>
    </w:rPr>
  </w:style>
  <w:style w:type="character" w:customStyle="1" w:styleId="CommentTextChar">
    <w:name w:val="Comment Text Char"/>
    <w:basedOn w:val="DefaultParagraphFont"/>
    <w:link w:val="CommentText"/>
    <w:uiPriority w:val="99"/>
    <w:semiHidden/>
    <w:rsid w:val="00DF05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57A"/>
    <w:rPr>
      <w:b/>
      <w:bCs/>
    </w:rPr>
  </w:style>
  <w:style w:type="character" w:customStyle="1" w:styleId="CommentSubjectChar">
    <w:name w:val="Comment Subject Char"/>
    <w:basedOn w:val="CommentTextChar"/>
    <w:link w:val="CommentSubject"/>
    <w:uiPriority w:val="99"/>
    <w:semiHidden/>
    <w:rsid w:val="00DF05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1EF"/>
    <w:pPr>
      <w:tabs>
        <w:tab w:val="center" w:pos="4320"/>
        <w:tab w:val="right" w:pos="8640"/>
      </w:tabs>
    </w:pPr>
  </w:style>
  <w:style w:type="character" w:customStyle="1" w:styleId="HeaderChar">
    <w:name w:val="Header Char"/>
    <w:basedOn w:val="DefaultParagraphFont"/>
    <w:link w:val="Header"/>
    <w:rsid w:val="002011EF"/>
    <w:rPr>
      <w:rFonts w:ascii="Times New Roman" w:eastAsia="Times New Roman" w:hAnsi="Times New Roman" w:cs="Times New Roman"/>
      <w:sz w:val="24"/>
      <w:szCs w:val="24"/>
    </w:rPr>
  </w:style>
  <w:style w:type="paragraph" w:customStyle="1" w:styleId="Undirritun1">
    <w:name w:val="Undirritun 1"/>
    <w:basedOn w:val="Normal"/>
    <w:autoRedefine/>
    <w:qFormat/>
    <w:rsid w:val="002011EF"/>
    <w:pPr>
      <w:tabs>
        <w:tab w:val="left" w:pos="397"/>
        <w:tab w:val="left" w:pos="709"/>
        <w:tab w:val="right" w:pos="7796"/>
      </w:tabs>
      <w:jc w:val="center"/>
    </w:pPr>
    <w:rPr>
      <w:rFonts w:ascii="Times" w:hAnsi="Times"/>
      <w:b/>
      <w:noProof/>
      <w:sz w:val="21"/>
      <w:szCs w:val="20"/>
      <w:lang w:eastAsia="en-GB"/>
    </w:rPr>
  </w:style>
  <w:style w:type="paragraph" w:customStyle="1" w:styleId="Undirritun2">
    <w:name w:val="Undirritun 2"/>
    <w:basedOn w:val="Normal"/>
    <w:autoRedefine/>
    <w:qFormat/>
    <w:rsid w:val="002011EF"/>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styleId="BalloonText">
    <w:name w:val="Balloon Text"/>
    <w:basedOn w:val="Normal"/>
    <w:link w:val="BalloonTextChar"/>
    <w:uiPriority w:val="99"/>
    <w:semiHidden/>
    <w:unhideWhenUsed/>
    <w:rsid w:val="00DF7C0F"/>
    <w:rPr>
      <w:rFonts w:ascii="Tahoma" w:hAnsi="Tahoma" w:cs="Tahoma"/>
      <w:sz w:val="16"/>
      <w:szCs w:val="16"/>
    </w:rPr>
  </w:style>
  <w:style w:type="character" w:customStyle="1" w:styleId="BalloonTextChar">
    <w:name w:val="Balloon Text Char"/>
    <w:basedOn w:val="DefaultParagraphFont"/>
    <w:link w:val="BalloonText"/>
    <w:uiPriority w:val="99"/>
    <w:semiHidden/>
    <w:rsid w:val="00DF7C0F"/>
    <w:rPr>
      <w:rFonts w:ascii="Tahoma" w:eastAsia="Times New Roman" w:hAnsi="Tahoma" w:cs="Tahoma"/>
      <w:sz w:val="16"/>
      <w:szCs w:val="16"/>
    </w:rPr>
  </w:style>
  <w:style w:type="paragraph" w:styleId="Footer">
    <w:name w:val="footer"/>
    <w:basedOn w:val="Normal"/>
    <w:link w:val="FooterChar"/>
    <w:uiPriority w:val="99"/>
    <w:unhideWhenUsed/>
    <w:rsid w:val="00DF7C0F"/>
    <w:pPr>
      <w:tabs>
        <w:tab w:val="center" w:pos="4536"/>
        <w:tab w:val="right" w:pos="9072"/>
      </w:tabs>
    </w:pPr>
  </w:style>
  <w:style w:type="character" w:customStyle="1" w:styleId="FooterChar">
    <w:name w:val="Footer Char"/>
    <w:basedOn w:val="DefaultParagraphFont"/>
    <w:link w:val="Footer"/>
    <w:uiPriority w:val="99"/>
    <w:rsid w:val="00DF7C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57A"/>
    <w:rPr>
      <w:sz w:val="16"/>
      <w:szCs w:val="16"/>
    </w:rPr>
  </w:style>
  <w:style w:type="paragraph" w:styleId="CommentText">
    <w:name w:val="annotation text"/>
    <w:basedOn w:val="Normal"/>
    <w:link w:val="CommentTextChar"/>
    <w:uiPriority w:val="99"/>
    <w:semiHidden/>
    <w:unhideWhenUsed/>
    <w:rsid w:val="00DF057A"/>
    <w:rPr>
      <w:sz w:val="20"/>
      <w:szCs w:val="20"/>
    </w:rPr>
  </w:style>
  <w:style w:type="character" w:customStyle="1" w:styleId="CommentTextChar">
    <w:name w:val="Comment Text Char"/>
    <w:basedOn w:val="DefaultParagraphFont"/>
    <w:link w:val="CommentText"/>
    <w:uiPriority w:val="99"/>
    <w:semiHidden/>
    <w:rsid w:val="00DF05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57A"/>
    <w:rPr>
      <w:b/>
      <w:bCs/>
    </w:rPr>
  </w:style>
  <w:style w:type="character" w:customStyle="1" w:styleId="CommentSubjectChar">
    <w:name w:val="Comment Subject Char"/>
    <w:basedOn w:val="CommentTextChar"/>
    <w:link w:val="CommentSubject"/>
    <w:uiPriority w:val="99"/>
    <w:semiHidden/>
    <w:rsid w:val="00DF05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2C21.DC2130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Jónsdóttir</dc:creator>
  <cp:lastModifiedBy>Jóhannes Tómasson</cp:lastModifiedBy>
  <cp:revision>2</cp:revision>
  <cp:lastPrinted>2015-01-20T09:58:00Z</cp:lastPrinted>
  <dcterms:created xsi:type="dcterms:W3CDTF">2015-01-21T11:03:00Z</dcterms:created>
  <dcterms:modified xsi:type="dcterms:W3CDTF">2015-01-21T11:03:00Z</dcterms:modified>
</cp:coreProperties>
</file>